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ectPr>
          <w:pgSz w:w="11900" w:h="16838" w:orient="portrait"/>
          <w:cols w:equalWidth="0" w:num="1">
            <w:col w:w="10139"/>
          </w:cols>
          <w:pgMar w:left="320" w:top="509"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780" w:space="720"/>
            <w:col w:w="5639"/>
          </w:cols>
          <w:pgMar w:left="320" w:top="509" w:right="1440"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Check the appropriate box:</w:t>
      </w:r>
    </w:p>
    <w:p>
      <w:pPr>
        <w:sectPr>
          <w:pgSz w:w="11900" w:h="16838" w:orient="portrait"/>
          <w:cols w:equalWidth="0" w:num="1">
            <w:col w:w="10139"/>
          </w:cols>
          <w:pgMar w:left="320" w:top="509" w:right="1440" w:bottom="1440" w:gutter="0" w:footer="0" w:header="0"/>
          <w:type w:val="continuous"/>
        </w:sect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141605</wp:posOffset>
            </wp:positionV>
            <wp:extent cx="15684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60 DEGREES PHARMACEUTICALS, INC.</w:t>
      </w:r>
    </w:p>
    <w:p>
      <w:pPr>
        <w:spacing w:after="0" w:line="3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22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2994025</wp:posOffset>
            </wp:positionH>
            <wp:positionV relativeFrom="page">
              <wp:posOffset>568960</wp:posOffset>
            </wp:positionV>
            <wp:extent cx="156845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6172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1025 Connecticut Avenue NW Suite 1000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https://60degreespharma.com</w:t>
      </w:r>
    </w:p>
    <w:p>
      <w:pPr>
        <w:spacing w:after="0" w:line="207"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color w:val="auto"/>
        </w:rPr>
        <w:t>[____]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behalf of your Board of Directors, we cordially invite you to attend the 2026 Annual Meeting of Stockholders of 60 Degrees Pharmaceuticals, Inc. (the “Annual Meeting”). The Annual Meeting will be held on August 5, 2026, at 12:00 p.m. Eastern Time, in a virtual meeting format only and conducted via live audio webcast over the telephone to enable our stockholders to participate from locations around the world. Stockholders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able to attend the Annual Meeting in person. The Annual Meeting will be accessible only over the telephone. Please see “Attending the Virtual Annual Meeting” in the proxy statement (“Proxy Statement”) accompanying this letter for information on how to obtain the proxy materials, attend, ask questions at the Annual Meeting and vote at the Annual Meeting.</w:t>
      </w:r>
    </w:p>
    <w:p>
      <w:pPr>
        <w:spacing w:after="0" w:line="1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are making available to you the accompanying Notice of Annual Meeting of Stockholders (“Notice”), Proxy Statement and form of proxy card or voting instruction form on or about [____] , 2026. We are pleased to furnish proxy materials to stockholders primarily over the internet. We believe that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expedites stockholders’ receipt of proxy materials, lowers the costs of our Annual Meeting and conserves natural resources. On or about [____],</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2026, we mailed to our stockholders a Notice of Internet Availability of Proxy Materials (the “Internet Availability Notice”) that includes instructions on how to access our Proxy Statement and 2025 Annual Report and how to vote over the telephone. The Internet Availability Notice also includes instructions on how you can receive a paper copy of your Annual Meeting materials, including the Notice, Proxy Statement and proxy card or voting instruction form. If you elected to receive your Annual Meeting materials by mail, the Notice, Proxy Statement and proxy card or voting instruction form were enclosed. If you elected to receive your Annual Meeting materials via e-mail, the e-mail contains voting instructions and links to the 2025 Annual Report and the Proxy Statement, both of which are available on our website at </w:t>
      </w:r>
      <w:r>
        <w:rPr>
          <w:rFonts w:ascii="Times New Roman" w:cs="Times New Roman" w:eastAsia="Times New Roman" w:hAnsi="Times New Roman"/>
          <w:sz w:val="18"/>
          <w:szCs w:val="18"/>
          <w:i w:val="1"/>
          <w:iCs w:val="1"/>
          <w:color w:val="auto"/>
        </w:rPr>
        <w:t>https://60degreespharma.com</w:t>
      </w:r>
      <w:r>
        <w:rPr>
          <w:rFonts w:ascii="Times New Roman" w:cs="Times New Roman" w:eastAsia="Times New Roman" w:hAnsi="Times New Roman"/>
          <w:sz w:val="18"/>
          <w:szCs w:val="18"/>
          <w:color w:val="auto"/>
        </w:rPr>
        <w:t>. Additional details regarding admission to, and the business to be conducted at, the Annual Meeting are described in the accompanying Notice and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July 2, 2026, are entitled to notice of, and to vote at, the Annual Meeting.</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Regardless of whether you plan to attend the Annual Meeting, we hope that you will vote as soon as possible. You may vote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telephone or by mailing in a proxy card. Please review the instructions on the proxy card or voting instruction form regarding each of these voting options. Voting will ensure your representation at the Annual Meeting regardless of whether you attend the Annual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60 Degrees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Dow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1025 Connecticut Avenue NW Suite 1000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https://60degreespharma.com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Be Held Virtually at 12:00 p.m. (Eastern Time) on August 5,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60 Degrees Pharmaceuticals, Inc., a Delaware corporation (“Company,” “we,” “us” and “our”), will be held on August 5, 2026, at 12:00 p.m. (Eastern Time) via a live audio webcast over the telephone. You will be able to virtually attend the Annual Meeting over the telephone and ask questions during the Annual Meeting. We are holding the Annual Meeting for the following purposes, which are more fully described in the accompanying proxy statement:</w:t>
      </w:r>
    </w:p>
    <w:p>
      <w:pPr>
        <w:spacing w:after="0" w:line="180"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(5) directors to serve until the 2027 Annual Meeting of Stockholders and until their respective successors are duly elected and qualified (the “Director Election Proposal”);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60 Degrees Pharmaceuticals, Inc. 2022 Equity Incentive Plan (the “2022 Plan”) to increase the number of shares of common stock available for issuance by 800,000 shares (the “2022 Plan Amendment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certificate of incorporation, as corrected (“Certificate of Incorporation”), to effect a reverse stock split of our common stock at a reverse stock split ratio ranging from 1:5 to 1:10 inclusive, as determined by our Board of Directors in its sole discretion (the “Certificate of Incorporation Amendment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our Board of Directors of RBSM LLP as our independent auditor for the fiscal year ending December 31, 2025 (the “Auditor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payment to management of a success fee of five percent (5%) of deal proceeds between a deal value of $40 and 100 million, and 6% of deal proceeds for a deal value in excess of $100 million, in the event of a change of control/strategic transaction or sale of Arakoda, to be awarded as cash or equity to members of the management team, as determined by the Board of Directors at its sole discretion (the “Management Success Fee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adjourning the Annual Meeting, if necessary, to solicit additional proxies in the event there are not sufficient votes in favor of the Director Election Proposal, the 2022 Plan Amendment Proposal and the Certificate of Incorporation Amendment Proposal at the time of the Annual Meeting (the “Adjournment Proposal”);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(“Proxy Statement”) accompanying this Notice of Annual Meeting of Stockholders (the “Notice”). We are not aware of any other business to come before the Annual Meeting.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After careful consideration, the Board has determined that each proposal listed above is in the best interests of the Company and its stockholders and has approved each proposal. </w:t>
      </w:r>
      <w:r>
        <w:rPr>
          <w:rFonts w:ascii="Times New Roman" w:cs="Times New Roman" w:eastAsia="Times New Roman" w:hAnsi="Times New Roman"/>
          <w:sz w:val="18"/>
          <w:szCs w:val="18"/>
          <w:b w:val="1"/>
          <w:bCs w:val="1"/>
          <w:color w:val="auto"/>
        </w:rPr>
        <w:t>The Board recommends a vote “FOR” the Election of each director nominee (Proposal 1), “FOR” the approval of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to the 2022 Plan (Proposal 2), “FOR” the approval of an amendment to our Certificate of Incorporation (Proposal 3), “ “FOR” the ratification of our independent auditor (Proposal 4), “FOR” the approval of a Management Success Fee in connection with a Change of Control or Strategic Transaction (Proposal 5) and “FOR” the approval of the Adjournment Proposal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All stockholders are invited to attend the Annual Meeting virtually and no stockholder will be able to attend the Annual Meeting in person. The Annual Meeting will be accessible via the telephone in accordance with the instructions contained in the Proxy Statement. Please see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Meeting and Voting—How Do I Vote At The Annual Meeting?</w:t>
      </w:r>
      <w:r>
        <w:rPr>
          <w:rFonts w:ascii="Times New Roman" w:cs="Times New Roman" w:eastAsia="Times New Roman" w:hAnsi="Times New Roman"/>
          <w:sz w:val="18"/>
          <w:szCs w:val="18"/>
          <w:color w:val="auto"/>
        </w:rPr>
        <w:t>” in the Proxy Statement accompanying this Notice for information on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 ask questions during the Annual Meeting and vote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can vote at the Annual Meeting if you were a stockholder of record as of the close of business on July 2, 2026 (the “Record Date”). Only stockholders of record on the Record Date are entitled to receive this Notice and to vote at the Annual Meeting or at any postponement(s) or, continuations(s) or adjournment(s) of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Form 10-K (the “2025 Annual Report”) accompanies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THE PROXY MATERIALS AND ANNUAL REPORT ON OUR WEBSITE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may also read the 2025 Annual Report, this Notice and Proxy Statement on our website at </w:t>
      </w:r>
      <w:r>
        <w:rPr>
          <w:rFonts w:ascii="Times New Roman" w:cs="Times New Roman" w:eastAsia="Times New Roman" w:hAnsi="Times New Roman"/>
          <w:sz w:val="18"/>
          <w:szCs w:val="18"/>
          <w:i w:val="1"/>
          <w:iCs w:val="1"/>
          <w:color w:val="auto"/>
        </w:rPr>
        <w:t>https://investors.60degreespharma.com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Notice, the Proxy Statement and the form of proxy are first being made available to stockholders on or about [___] , 2026, at </w:t>
      </w:r>
      <w:r>
        <w:rPr>
          <w:rFonts w:ascii="Times New Roman" w:cs="Times New Roman" w:eastAsia="Times New Roman" w:hAnsi="Times New Roman"/>
          <w:sz w:val="18"/>
          <w:szCs w:val="18"/>
          <w:i w:val="1"/>
          <w:iCs w:val="1"/>
          <w:color w:val="auto"/>
        </w:rPr>
        <w:t>www.SXTP.vote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VOTE IS IMPORTANT. YOU MAY VOTE BY TELEPHONE OR BY MAILING BACK A PROXY CARD. PLEASE REVIEW THE INSTRUCTIONS IN THE PROXY STATEMENT OR ON THE PROXY CARD OR VOTING INSTRUCTION FORM REGARDING EACH OF THESE VOTING OPTIONS.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hope you are able to attend the Annual Meeting virtually via the telephone. Whether or not you attend, it is important that your stock be represented and voted at the meeting. I urge you to please complete, date and return the proxy card in the enclosed envelope, vote your shares electronically or vote by telephone using the information provided in the attached Proxy Statement prior to the Annual Meeting date. The vote of each stockholder is very important. You may revoke your written proxy at any time before it is voted at the Annual Meeting by giving written notice to the Company’s Chief Financial Officer, by submitting a properly executed paper proxy bearing a later date or by attending the Annual Meeting virtually and voting online during the meeting. Stockholders may also revoke their proxies by entering a new vote by telephone.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Dow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60" w:type="dxa"/>
            <w:vAlign w:val="bottom"/>
            <w:gridSpan w:val="9"/>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 ABOUT THE ANNUAL MEETING</w:t>
            </w:r>
          </w:p>
        </w:tc>
        <w:tc>
          <w:tcPr>
            <w:tcW w:w="86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86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AND EXECUTIVE OFFICERS</w:t>
            </w:r>
          </w:p>
        </w:tc>
        <w:tc>
          <w:tcPr>
            <w:tcW w:w="86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86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REPORT</w:t>
            </w:r>
          </w:p>
        </w:tc>
        <w:tc>
          <w:tcPr>
            <w:tcW w:w="8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 COMPENSATION</w:t>
            </w:r>
          </w:p>
        </w:tc>
        <w:tc>
          <w:tcPr>
            <w:tcW w:w="8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8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8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5"/>
        </w:trPr>
        <w:tc>
          <w:tcPr>
            <w:tcW w:w="101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shd w:val="clear" w:color="auto" w:fill="CCEEFF"/>
          </w:tcPr>
          <w:p>
            <w:pPr>
              <w:spacing w:after="0"/>
              <w:rPr>
                <w:sz w:val="18"/>
                <w:szCs w:val="18"/>
                <w:color w:val="auto"/>
              </w:rPr>
            </w:pPr>
          </w:p>
        </w:tc>
        <w:tc>
          <w:tcPr>
            <w:tcW w:w="10220" w:type="dxa"/>
            <w:vAlign w:val="bottom"/>
            <w:gridSpan w:val="2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860" w:type="dxa"/>
            <w:vAlign w:val="bottom"/>
            <w:shd w:val="clear" w:color="auto" w:fill="CCEEFF"/>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8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5"/>
        </w:trPr>
        <w:tc>
          <w:tcPr>
            <w:tcW w:w="101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2: APPROVAL OF AMENDMENT TO THE 2022 EQUITY INCENTIVE PLAN TO INCREASE TOTAL NUMBER OF</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shd w:val="clear" w:color="auto" w:fill="CCEEFF"/>
          </w:tcPr>
          <w:p>
            <w:pPr>
              <w:spacing w:after="0"/>
              <w:rPr>
                <w:sz w:val="18"/>
                <w:szCs w:val="18"/>
                <w:color w:val="auto"/>
              </w:rPr>
            </w:pPr>
          </w:p>
        </w:tc>
        <w:tc>
          <w:tcPr>
            <w:tcW w:w="10220" w:type="dxa"/>
            <w:vAlign w:val="bottom"/>
            <w:gridSpan w:val="2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AUTHORIZED SHARES BY 800,000 SHARES</w:t>
            </w:r>
          </w:p>
        </w:tc>
        <w:tc>
          <w:tcPr>
            <w:tcW w:w="860" w:type="dxa"/>
            <w:vAlign w:val="bottom"/>
            <w:shd w:val="clear" w:color="auto" w:fill="CCEEFF"/>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6"/>
        </w:trPr>
        <w:tc>
          <w:tcPr>
            <w:tcW w:w="101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3: APPROVAL OF AMENDMENT OF CERTIFICATE OF INCORPORATION TO EFFECT A REVERSE STOCK SPLIT</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0000EE"/>
            </w:tcBorders>
            <w:gridSpan w:val="1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AT A SPLIT RATIO OF 1:5 TO 1:10, INCLUSIVE, AS DETERMINED BY THE BOARD OF DIRECTORS IN ITS SOLE</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17"/>
        </w:trPr>
        <w:tc>
          <w:tcPr>
            <w:tcW w:w="160" w:type="dxa"/>
            <w:vAlign w:val="bottom"/>
            <w:shd w:val="clear" w:color="auto" w:fill="CCEEFF"/>
          </w:tcPr>
          <w:p>
            <w:pPr>
              <w:spacing w:after="0"/>
              <w:rPr>
                <w:sz w:val="18"/>
                <w:szCs w:val="18"/>
                <w:color w:val="auto"/>
              </w:rPr>
            </w:pPr>
          </w:p>
        </w:tc>
        <w:tc>
          <w:tcPr>
            <w:tcW w:w="10220" w:type="dxa"/>
            <w:vAlign w:val="bottom"/>
            <w:gridSpan w:val="2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DISCRETION</w:t>
            </w:r>
          </w:p>
        </w:tc>
        <w:tc>
          <w:tcPr>
            <w:tcW w:w="860" w:type="dxa"/>
            <w:vAlign w:val="bottom"/>
            <w:shd w:val="clear" w:color="auto" w:fill="CCEEFF"/>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4: RATIFICATION OF APPOINTMENT OF INDEPENDENT REGISTERED PUBLIC ACCOUNTING FIRM</w:t>
            </w:r>
          </w:p>
        </w:tc>
        <w:tc>
          <w:tcPr>
            <w:tcW w:w="8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5"/>
        </w:trPr>
        <w:tc>
          <w:tcPr>
            <w:tcW w:w="101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5: APPROVAL OF MANAGEMENT SUCCESS FEE IN CONNECTION WITH A CHANGE OF CONTROL OR</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216"/>
        </w:trPr>
        <w:tc>
          <w:tcPr>
            <w:tcW w:w="160" w:type="dxa"/>
            <w:vAlign w:val="bottom"/>
            <w:shd w:val="clear" w:color="auto" w:fill="CCEEFF"/>
          </w:tcPr>
          <w:p>
            <w:pPr>
              <w:spacing w:after="0"/>
              <w:rPr>
                <w:sz w:val="18"/>
                <w:szCs w:val="18"/>
                <w:color w:val="auto"/>
              </w:rPr>
            </w:pPr>
          </w:p>
        </w:tc>
        <w:tc>
          <w:tcPr>
            <w:tcW w:w="10220" w:type="dxa"/>
            <w:vAlign w:val="bottom"/>
            <w:gridSpan w:val="2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STRATEGIC TRANSACTION</w:t>
            </w:r>
          </w:p>
        </w:tc>
        <w:tc>
          <w:tcPr>
            <w:tcW w:w="860" w:type="dxa"/>
            <w:vAlign w:val="bottom"/>
            <w:shd w:val="clear" w:color="auto" w:fill="CCEEFF"/>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5"/>
        </w:trPr>
        <w:tc>
          <w:tcPr>
            <w:tcW w:w="101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6: APPROVAL OF THE ADJOURNMENT OF THE ANNUAL MEETING, IF NECESSARY, TO SOLICIT ADDITIONAL</w:t>
            </w:r>
          </w:p>
        </w:tc>
        <w:tc>
          <w:tcPr>
            <w:tcW w:w="240" w:type="dxa"/>
            <w:vAlign w:val="bottom"/>
            <w:tcBorders>
              <w:bottom w:val="single" w:sz="8" w:color="CCEEFF"/>
            </w:tcBorders>
            <w:gridSpan w:val="3"/>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9960" w:type="dxa"/>
            <w:vAlign w:val="bottom"/>
            <w:tcBorders>
              <w:bottom w:val="single" w:sz="8" w:color="0000EE"/>
            </w:tcBorders>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PROXIES IN THE EVENT THERE ARE NOT SUFFICIENT VOTES IN FAVOR OF THE DIRECTOR ELCTION PROPOSAL, THE</w:t>
            </w:r>
          </w:p>
        </w:tc>
        <w:tc>
          <w:tcPr>
            <w:tcW w:w="260" w:type="dxa"/>
            <w:vAlign w:val="bottom"/>
            <w:tcBorders>
              <w:bottom w:val="single" w:sz="8" w:color="CCEEFF"/>
            </w:tcBorders>
            <w:gridSpan w:val="4"/>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96"/>
        </w:trPr>
        <w:tc>
          <w:tcPr>
            <w:tcW w:w="16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2022 PLAN AMENDMENT PROPOSAL,  THE CERTIFICATE OF INCORPORATION AMENDMENT PROPOSAL AND THE</w:t>
            </w:r>
          </w:p>
        </w:tc>
        <w:tc>
          <w:tcPr>
            <w:tcW w:w="86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0000EE"/>
            </w:tcBorders>
            <w:gridSpan w:val="1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 SUCCESS FEE PROPOSAL</w:t>
            </w:r>
          </w:p>
        </w:tc>
        <w:tc>
          <w:tcPr>
            <w:tcW w:w="280" w:type="dxa"/>
            <w:vAlign w:val="bottom"/>
            <w:tcBorders>
              <w:top w:val="single" w:sz="8" w:color="CCEEFF"/>
            </w:tcBorders>
            <w:gridSpan w:val="5"/>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5"/>
        </w:trPr>
        <w:tc>
          <w:tcPr>
            <w:tcW w:w="10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86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1025 Connecticut Avenue NW Suite 1000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Meeting of Stockholders to Be Held on August 5, 2026</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60 Degrees Pharmaceuticals, Inc., a Delaware corporation (“60 Degrees Pharmaceuticals,” “60P,” “Company,” “we,” “us” or “our”), solicits the enclosed proxy for use at the 2026 Annual Meeting of Stockholders of the Company (“Annual Meeting”) to be held on August 5, 2026, only via live audio webcast over the telephone by following the instructions set forth here at “</w:t>
      </w:r>
      <w:r>
        <w:rPr>
          <w:rFonts w:ascii="Times New Roman" w:cs="Times New Roman" w:eastAsia="Times New Roman" w:hAnsi="Times New Roman"/>
          <w:sz w:val="18"/>
          <w:szCs w:val="18"/>
          <w:i w:val="1"/>
          <w:iCs w:val="1"/>
          <w:color w:val="auto"/>
        </w:rPr>
        <w:t>Questions and Answers About the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How Do I Vote at the Annual Meeting?</w:t>
      </w:r>
      <w:r>
        <w:rPr>
          <w:rFonts w:ascii="Times New Roman" w:cs="Times New Roman" w:eastAsia="Times New Roman" w:hAnsi="Times New Roman"/>
          <w:sz w:val="18"/>
          <w:szCs w:val="18"/>
          <w:color w:val="auto"/>
        </w:rPr>
        <w:t>” This proxy statement (“Proxy Statement”) and the accompanying Notice of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“Notice”) and form of proxy are first being made available to stockholders on or about [___], 2026.</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furnishing proxy materials to our stockholders primarily via the internet. On or about [___], 2026, we mailed to our stockholders a Notice of Internet Availability of Proxy Materials (the “Internet Availability Notice”) containing instructions on how to access our proxy materials, including our Proxy Statement and our 2025 Annual Report to Stockholders (the “2025 Annual Report”). The Internet Availability Notice also provides information on how to access your voting instructions to be able to vote by telephone. Other stockholders, in accordance with their prior requests, have received e-mail notification of how to access our proxy materials and vote via telephone, or have been mailed paper copies of our proxy materials and a proxy card or voting instruction form. Internet distribution of our proxy materials helps to expedite receipt by our stockholders, lowers the cost of the Annual Meeting and conserves natural resources. If you have previously elected to receive our proxy materials electronically, you will continue to receive these materials via e-mail unless you elect otherwise.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executive offices of the Company are located at, and the mailing address of the Company is 1025 Connecticut Avenue NW Suite 1000, Washington, D.C. 20036.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Statement contains information about the matters to be voted on at the Annual Meeting and the voting process, as well as information about our directors and executive officers.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Under Securities and Exchange Commission (“SEC”)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[___], 2026, we will begin sending to our stockholders the Internet Availability Notice containing instructions on how to access our Proxy Statement for our Annual Meeting and our 2025 Annual Report. The Internet Availability Notice also provides instructions on how to vote and access the virtual Annual Meeting by telephone and how to receive a paper copy of the proxy materials by mail. The Notice and Proxy Statement are also available at </w:t>
      </w:r>
      <w:r>
        <w:rPr>
          <w:rFonts w:ascii="Times New Roman" w:cs="Times New Roman" w:eastAsia="Times New Roman" w:hAnsi="Times New Roman"/>
          <w:sz w:val="18"/>
          <w:szCs w:val="18"/>
          <w:b w:val="1"/>
          <w:bCs w:val="1"/>
          <w:i w:val="1"/>
          <w:iCs w:val="1"/>
          <w:color w:val="auto"/>
        </w:rPr>
        <w:t>www.SXTP.vote.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a proxy?</w:t>
      </w:r>
    </w:p>
    <w:p>
      <w:pPr>
        <w:spacing w:after="0" w:line="229" w:lineRule="exact"/>
        <w:rPr>
          <w:sz w:val="20"/>
          <w:szCs w:val="20"/>
          <w:color w:val="auto"/>
        </w:rPr>
      </w:pPr>
    </w:p>
    <w:p>
      <w:pPr>
        <w:jc w:val="both"/>
        <w:ind w:firstLine="8"/>
        <w:spacing w:after="0" w:line="258" w:lineRule="auto"/>
        <w:tabs>
          <w:tab w:leader="none" w:pos="2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another person that you legally designate to vote your stock. If you designate someone as your proxy in a written document, that document is also called a “proxy” or a “proxy card.” By using the methods discussed below, you will be appointing Geoffrey Dow, the Chief Executive Officer, President and a director of the Company, and Tyrone Miller, the Chief Financial Officer of the Company, as your proxy. The proxy agent will vote on your behalf, and will have the authority to appoint a substitute to act as proxy. If you are unable to attend the Annual Meeting, please vote by proxy so that your shares may be voted.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a proxy statement?</w:t>
      </w:r>
    </w:p>
    <w:p>
      <w:pPr>
        <w:spacing w:after="0" w:line="229" w:lineRule="exact"/>
        <w:rPr>
          <w:sz w:val="20"/>
          <w:szCs w:val="20"/>
          <w:color w:val="auto"/>
        </w:rPr>
      </w:pPr>
    </w:p>
    <w:p>
      <w:pPr>
        <w:ind w:firstLine="8"/>
        <w:spacing w:after="0" w:line="282" w:lineRule="auto"/>
        <w:tabs>
          <w:tab w:leader="none" w:pos="23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statement is a document that regulations of the SEC require that we give to you when we ask you to sign a proxy card to vote your stock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purpose of the Annual Meeting?</w:t>
      </w:r>
    </w:p>
    <w:p>
      <w:pPr>
        <w:spacing w:after="0" w:line="229" w:lineRule="exact"/>
        <w:rPr>
          <w:sz w:val="20"/>
          <w:szCs w:val="20"/>
          <w:color w:val="auto"/>
        </w:rPr>
      </w:pPr>
    </w:p>
    <w:p>
      <w:pPr>
        <w:jc w:val="both"/>
        <w:ind w:firstLine="8"/>
        <w:spacing w:after="0" w:line="254" w:lineRule="auto"/>
        <w:tabs>
          <w:tab w:leader="none" w:pos="23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our Annual Meeting, stockholders will vote on: (i) the election of five (5) directors; (ii) to approve an amendment to the 60 Degrees Pharmaceuticals, Inc. 2022 Equity Incentive Plan (the “2022 Plan”) to increase the number of shares of common stock available for issuance 800,000 shares; (iii) to approve an amendment to our certificate of incorporation, as corrected (“Certificate of Incorporation”), to effect a reverse stock split of our common stock at a reverse stock split ratio ranging from 1:5 to 1:10 inclusive, as determined by our Board in its sole discretion; (iv) the ratification of the selection by our Board of RBSM LLP as our independent auditor for the fiscal year ending December 31, 2026; (v) to approve a management success fee in connection with a change of control or strategic transaction and (vi) such other matters as may come before the meeting. We are not currently aware of any such matters. In addition, following the meeting our management will report on the Company’s performance over the last fiscal year and respond to questions from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am I receiving these materials?</w:t>
      </w:r>
    </w:p>
    <w:p>
      <w:pPr>
        <w:spacing w:after="0" w:line="229" w:lineRule="exact"/>
        <w:rPr>
          <w:sz w:val="20"/>
          <w:szCs w:val="20"/>
          <w:color w:val="auto"/>
        </w:rPr>
      </w:pPr>
    </w:p>
    <w:p>
      <w:pPr>
        <w:jc w:val="both"/>
        <w:ind w:firstLine="8"/>
        <w:spacing w:after="0" w:line="266" w:lineRule="auto"/>
        <w:tabs>
          <w:tab w:leader="none" w:pos="2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made these materials available to you over the internet at www.SXTP.vote, or has delivered printed versions of these materials to you by mail, in connection with the Board’s solicitation of proxies for use at the Annual Meeting. The Annual Meeting is scheduled to be held on August 5, 2026, at 12:00 p.m. Eastern Time, via live audio webcast via telephone. This solicitation by the Board is for proxies for use at the Annual Meeting.</w:t>
      </w:r>
    </w:p>
    <w:p>
      <w:pPr>
        <w:spacing w:after="0" w:line="172" w:lineRule="exact"/>
        <w:rPr>
          <w:sz w:val="20"/>
          <w:szCs w:val="20"/>
          <w:color w:val="auto"/>
        </w:rPr>
      </w:pPr>
    </w:p>
    <w:p>
      <w:pPr>
        <w:ind w:right="20" w:firstLine="8"/>
        <w:spacing w:after="0" w:line="286" w:lineRule="auto"/>
        <w:tabs>
          <w:tab w:leader="none" w:pos="25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this year instead of a full set of proxy materials?</w:t>
      </w:r>
    </w:p>
    <w:p>
      <w:pPr>
        <w:spacing w:after="0" w:line="159" w:lineRule="exact"/>
        <w:rPr>
          <w:sz w:val="20"/>
          <w:szCs w:val="20"/>
          <w:color w:val="auto"/>
        </w:rPr>
      </w:pPr>
    </w:p>
    <w:p>
      <w:pPr>
        <w:jc w:val="both"/>
        <w:ind w:firstLine="8"/>
        <w:spacing w:after="0" w:line="254" w:lineRule="auto"/>
        <w:tabs>
          <w:tab w:leader="none" w:pos="23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permitted by SEC rules, we are making this Proxy Statement and our Annual Report available to our stockholders electronically via the internet. On or about [___], 2026, we mailed to our stockholders the Internet Availability Notice containing instructions on how to access this proxy statement and our Annual Report and vote online. If you received the Internet Availability Notice by mail you will not receive a printed copy of the proxy materials in the mail unless you request a copy. The Internet Availability Notice instructs you on how to access and review all of the important information contained in the Proxy Statement and Annual Report. The Internet Availability Notice also instructs you on how you may submit your proxy by telephone. If you received the Internet Availability Notice by mail and would like to receive a printed copy of our proxy materials, you should follow the instructions for requesting such materials contained on the Internet Availability Notice and note that any requests to receive printed proxy materials must be requested no later than [___], 2026. We encourage you to take advantage of the availability of the proxy materials on the internet in order to help lower the costs of delivery and reduce the Company’s environmental impact.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obtain the materials for the Annual Meeting?</w:t>
      </w:r>
    </w:p>
    <w:p>
      <w:pPr>
        <w:spacing w:after="0" w:line="229" w:lineRule="exact"/>
        <w:rPr>
          <w:sz w:val="20"/>
          <w:szCs w:val="20"/>
          <w:color w:val="auto"/>
        </w:rPr>
      </w:pPr>
    </w:p>
    <w:p>
      <w:pPr>
        <w:ind w:firstLine="8"/>
        <w:spacing w:after="0" w:line="282" w:lineRule="auto"/>
        <w:tabs>
          <w:tab w:leader="none" w:pos="23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have received the Internet Availability Notice in the mail of how to obtain materials for the Annual Meeting. Please follow the instructions on the Internet Availability Notice to obtain the materials either via the internet, by telephone or by e-mail.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You may also view the following proxy materials on the Company’s website at </w:t>
      </w:r>
      <w:r>
        <w:rPr>
          <w:rFonts w:ascii="Times New Roman" w:cs="Times New Roman" w:eastAsia="Times New Roman" w:hAnsi="Times New Roman"/>
          <w:sz w:val="18"/>
          <w:szCs w:val="18"/>
          <w:i w:val="1"/>
          <w:iCs w:val="1"/>
          <w:color w:val="auto"/>
        </w:rPr>
        <w:t>https://60degreespharma.com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2025 Annual Report; and</w:t>
      </w:r>
    </w:p>
    <w:p>
      <w:pPr>
        <w:spacing w:after="0" w:line="225" w:lineRule="exact"/>
        <w:rPr>
          <w:rFonts w:ascii="Times New Roman" w:cs="Times New Roman" w:eastAsia="Times New Roman" w:hAnsi="Times New Roman"/>
          <w:sz w:val="18"/>
          <w:szCs w:val="18"/>
          <w:color w:val="auto"/>
        </w:rPr>
      </w:pPr>
    </w:p>
    <w:p>
      <w:pPr>
        <w:ind w:right="7820" w:firstLine="332"/>
        <w:spacing w:after="0" w:line="530" w:lineRule="auto"/>
        <w:tabs>
          <w:tab w:leader="none" w:pos="64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2026 Proxy Statement. You may not vote on the Company’s website.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urges you to request your materials before [____] , 2026, so that you will receive them in a timely manner in order to vote at the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may attend the Annual Meeting?</w:t>
      </w:r>
    </w:p>
    <w:p>
      <w:pPr>
        <w:spacing w:after="0" w:line="229"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is open to all stockholders of record as of close of business on July 2, 2026 (the “Record Date”), or their duly appointed proxies.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will I need in order to attend the Annual Meeting Online?</w:t>
      </w:r>
    </w:p>
    <w:p>
      <w:pPr>
        <w:spacing w:after="0" w:line="229" w:lineRule="exact"/>
        <w:rPr>
          <w:sz w:val="20"/>
          <w:szCs w:val="20"/>
          <w:color w:val="auto"/>
        </w:rPr>
      </w:pPr>
    </w:p>
    <w:p>
      <w:pPr>
        <w:jc w:val="both"/>
        <w:ind w:firstLine="8"/>
        <w:spacing w:after="0" w:line="256" w:lineRule="auto"/>
        <w:tabs>
          <w:tab w:leader="none" w:pos="23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attend the Annual Meeting via the telephone, vote your shares and, after the meeting adjourns, ask a question during the Annual Meeting. On the day of the Annual Meeting, you may attend the Annual Meeting by calling the telephone number provided and following the instructions to vote your shares. Please have your Virtual Control Number with you while calling into the Annual Meeting. Further instructions on how to vote are set forth below in the question “</w:t>
      </w:r>
      <w:r>
        <w:rPr>
          <w:rFonts w:ascii="Times New Roman" w:cs="Times New Roman" w:eastAsia="Times New Roman" w:hAnsi="Times New Roman"/>
          <w:sz w:val="18"/>
          <w:szCs w:val="18"/>
          <w:i w:val="1"/>
          <w:iCs w:val="1"/>
          <w:color w:val="auto"/>
        </w:rPr>
        <w:t>How do I vote at the Annual Meeting?</w:t>
      </w:r>
      <w:r>
        <w:rPr>
          <w:rFonts w:ascii="Times New Roman" w:cs="Times New Roman" w:eastAsia="Times New Roman" w:hAnsi="Times New Roman"/>
          <w:sz w:val="18"/>
          <w:szCs w:val="18"/>
          <w:color w:val="auto"/>
        </w:rPr>
        <w:t>” If you do not comply with the procedures outlined in this Proxy Statement, you will not be admitted to the virtual Annual Meeting. Online access will begin on or around 11:30 A.M. Eastern Time on August 5, 2026, and we encourage you to access the meeting prior to the start time. The meeting audio webcast will begin promptly at 12:00 p.m. Eastern Time on August 5,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May stockholders ask questions?</w:t>
      </w:r>
    </w:p>
    <w:p>
      <w:pPr>
        <w:spacing w:after="0" w:line="229" w:lineRule="exact"/>
        <w:rPr>
          <w:sz w:val="20"/>
          <w:szCs w:val="20"/>
          <w:color w:val="auto"/>
        </w:rPr>
      </w:pPr>
    </w:p>
    <w:p>
      <w:pPr>
        <w:jc w:val="both"/>
        <w:ind w:firstLine="8"/>
        <w:spacing w:after="0" w:line="261" w:lineRule="auto"/>
        <w:tabs>
          <w:tab w:leader="none" w:pos="2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Representatives of the Company will answer stockholders’ questions of general interest after the adjournment of the Annual Meeting. Depending upon the number of persons asking questions, the Chairman of the meeting may limit the number of questions one person may ask in order to give a greater number of stockholders an opportunity to ask questions. If you choose to attend the meeting over the telephone, you may request to ask a question during the Annual Meeting. Questions will be answered as time allows.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may vote?</w:t>
      </w:r>
    </w:p>
    <w:p>
      <w:pPr>
        <w:spacing w:after="0" w:line="229" w:lineRule="exact"/>
        <w:rPr>
          <w:sz w:val="20"/>
          <w:szCs w:val="20"/>
          <w:color w:val="auto"/>
        </w:rPr>
      </w:pPr>
    </w:p>
    <w:p>
      <w:pPr>
        <w:ind w:firstLine="8"/>
        <w:spacing w:after="0" w:line="282" w:lineRule="auto"/>
        <w:tabs>
          <w:tab w:leader="none" w:pos="26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vote if you owned 60 Degrees Pharmaceuticals common stock as of the close of business on July 2, 2026. Each share of 60 Degrees Pharmaceuticals common stock is entitled to one vote. As of the Record Date, the Company had [_____] shares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am I voting on?</w:t>
      </w:r>
    </w:p>
    <w:p>
      <w:pPr>
        <w:spacing w:after="0" w:line="229"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be voting on the following items of business at the Annual Meeting:</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five (5) directors to serve until the 2026 Annual Meeting of stockholders and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2022 Plan to increase the number of shares of common stock available for issuance by 800,000 shares;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Certificate of Incorporation to effect a reverse stock split of our common stock at a reverse stock split ratio ranging from 1:5 to 1:10 inclusive, as determined by our Board in its sole discretion;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by our Board of RBSM LLP as our independent auditor for the fiscal year ending December 31,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Management Success Fee in connection with a change of control or strategic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 w:name="page9"/>
    <w:bookmarkEnd w:id="8"/>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adjourning the Annual Meeting, if necessary, to solicit additional proxies in the event there are not sufficient votes in favor of the Director Election Proposal, 2022 Plan Amendment Proposal, the Certificate of Incorporation Amendment Proposal at the time of the Annual Meeting, the Auditor Proposal and the Management Success Fee Proposal;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properly comes before the meeting.</w:t>
      </w:r>
    </w:p>
    <w:p>
      <w:pPr>
        <w:spacing w:after="0" w:line="2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w:t>
      </w:r>
    </w:p>
    <w:p>
      <w:pPr>
        <w:spacing w:after="0" w:line="229"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recommends that you vote your shares:</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nominees named in this Proxy Statement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the 2022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our Certificate of Incorporation;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by our Board of RBSM LLP as our independent auditor for the fiscal year ending December 31,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Management Success Fee Proposal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 and</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authority for the persons named as proxies to vote on other matters that may come before the Annual Meeting in their discretion. The Board has made no recommendation as to how the proxies will vote with respect to other matters that may come before the meeting. Such proxies will vote on any other matter in their sole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 at the Annual Meeting?</w:t>
      </w:r>
    </w:p>
    <w:p>
      <w:pPr>
        <w:spacing w:after="0" w:line="229" w:lineRule="exact"/>
        <w:rPr>
          <w:sz w:val="20"/>
          <w:szCs w:val="20"/>
          <w:color w:val="auto"/>
        </w:rPr>
      </w:pPr>
    </w:p>
    <w:p>
      <w:pPr>
        <w:ind w:firstLine="8"/>
        <w:spacing w:after="0" w:line="282" w:lineRule="auto"/>
        <w:tabs>
          <w:tab w:leader="none" w:pos="23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have received the Internet Availability Notice in the mail that described the methods of voting at the virtual Annual Meeting. Please refer to that notice to vote.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received a paper proxy card, you may vote by mail by returning the proxy card to the address on the enclosed envelope.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wish to vote your shares electronically at the Annual Meeting, you will need to call into the Annual Meeting while the polls are open (you will need the Virtual Control Number included on your proxy card that was included with the proxy materials).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 holders may cast their vote during the meeting by calling to the virtual meeting with the Virtual Control Number, which is included in the Internet Availability Notice and then, following the instructions while the polls are open during the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Beneficial holders will need to submit a legal proxy no later than 5:00 p.m. Eastern Time on August 4, 2026, to Proxy@equitystock.com. The beneficial holder will then be issued a Virtual Control Number, which can be used to enter the Annual Meeting and cast their vote while the polls are open during the annual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record or beneficial shareholder may call the number listed in the Notice of Internet Availability for the Annual Meeting without a Virtual Control Number if the shareholder identifies themselves as a shareholder on the phone. The shareholder will not be able to cast a vote nor ask questions during the Q&amp;A section using this method to join the Annual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If you encounter technical difficulties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in accessing the Annual Meeting live audio webcast. Please be sure to check in by 11:30 A.m. Eastern time, on August 5, 2026, the day of the Annual Meeting, so that we may address any technical difficulties before the Annual Meeting live audio webcast begins. If you encounter any difficulties accessing the Annual Meeting live audio webcast during the check-in or meeting time, please email proxy@equitystock.com or call (877) 804-2062 (toll free).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urges you to vote before August 5, 2026, to ensure that your vote is timely received and counted.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mind after I vote?</w:t>
      </w:r>
    </w:p>
    <w:p>
      <w:pPr>
        <w:spacing w:after="0" w:line="229"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change your vote at any time before the polls close at the Annual Meeting. You may do this by:</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card with a later date and returning it to us prior to the Annual Meeting;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by telephone during the virtual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attendance at the Annual Meeting will not have the effect of revoking a proxy unless you take any of the actions noted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will count the votes?</w:t>
      </w:r>
    </w:p>
    <w:p>
      <w:pPr>
        <w:spacing w:after="0" w:line="229" w:lineRule="exact"/>
        <w:rPr>
          <w:sz w:val="20"/>
          <w:szCs w:val="20"/>
          <w:color w:val="auto"/>
        </w:rPr>
      </w:pPr>
    </w:p>
    <w:p>
      <w:pPr>
        <w:ind w:right="20" w:firstLine="8"/>
        <w:spacing w:after="0" w:line="282" w:lineRule="auto"/>
        <w:tabs>
          <w:tab w:leader="none" w:pos="2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Stock Transfer, an independent inspector who is not affiliated with the Company or any director, director nominee or officer of the Company, will count the votes and will serve as the inspector of election.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I return my proxy card but do not provide voting instructions?</w:t>
      </w:r>
    </w:p>
    <w:p>
      <w:pPr>
        <w:spacing w:after="0" w:line="229" w:lineRule="exact"/>
        <w:rPr>
          <w:sz w:val="20"/>
          <w:szCs w:val="20"/>
          <w:color w:val="auto"/>
        </w:rPr>
      </w:pPr>
    </w:p>
    <w:p>
      <w:pPr>
        <w:jc w:val="both"/>
        <w:ind w:firstLine="8"/>
        <w:spacing w:after="0" w:line="266" w:lineRule="auto"/>
        <w:tabs>
          <w:tab w:leader="none" w:pos="24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vote by proxy card, your shares will be voted as you instruct by the individuals named as proxies on the proxy card. If you sign and return a proxy card but do not specify how your shares are to be voted, the persons named as proxies on the proxy card will vote your shares in accordance with the recommendations of the Board. These recommendations are:</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five (5) nominees for director named in this Proxy Statement (Proposal 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the 2022 Plan (Proposal 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our Certificate of Incorporation (Proposal 3);</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by our Board of RBSM LLP as our independent auditor for the fiscal year ending December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4);</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Management Success Fee Proposal (Proposal 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adjournment of the Annual Meeting, if necessary, to solicit additional proxies in the event there are not sufficient votes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the Director Election Proposal, the 2022 Plan Amendment Proposal, the Certificate of Incorporation Amendment Proposal at the time of the Annual Meeting, the Auditor Proposal and the Management Success Fee Proposal (Proposal 6); and</w:t>
      </w:r>
    </w:p>
    <w:p>
      <w:pPr>
        <w:spacing w:after="0" w:line="17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authority for the persons named as proxies to vote on other matters that may come before the Annual Meeting in their discretion. The Board has made no recommendation as to how the proxies will vote with respect to other matters that may come before the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Q: What does it mean if I receive more than one proxy card?</w:t>
      </w:r>
    </w:p>
    <w:p>
      <w:pPr>
        <w:spacing w:after="0" w:line="229" w:lineRule="exact"/>
        <w:rPr>
          <w:sz w:val="20"/>
          <w:szCs w:val="20"/>
          <w:color w:val="auto"/>
        </w:rPr>
      </w:pPr>
    </w:p>
    <w:p>
      <w:pPr>
        <w:jc w:val="both"/>
        <w:ind w:firstLine="8"/>
        <w:spacing w:after="0" w:line="266" w:lineRule="auto"/>
        <w:tabs>
          <w:tab w:leader="none" w:pos="23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means that you have multiple accounts with brokers and/or our transfer agent. Please vote all of these shares. We recommend that you contact your broker and/or our transfer agent to consolidate as many accounts as possible under the same name and address. Our transfer agent is Equity Stock Transfer, LLC, which may be reached at (212) 575-5757.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my shares be voted if I do not provide my proxy?</w:t>
      </w:r>
    </w:p>
    <w:p>
      <w:pPr>
        <w:spacing w:after="0" w:line="229" w:lineRule="exact"/>
        <w:rPr>
          <w:sz w:val="20"/>
          <w:szCs w:val="20"/>
          <w:color w:val="auto"/>
        </w:rPr>
      </w:pPr>
    </w:p>
    <w:p>
      <w:pPr>
        <w:jc w:val="both"/>
        <w:ind w:firstLine="8"/>
        <w:spacing w:after="0" w:line="255" w:lineRule="auto"/>
        <w:tabs>
          <w:tab w:leader="none" w:pos="2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shares may be voted if they are held in the name of a brokerage firm, even if you do not provide the brokerage firm with voting instructions. Brokerage firms have the authority under the rules of Nasdaq to vote shares for which their customers do not provide voting instructions on certain “routine” matters. The proposal to ratify the selection of RBSM LLP as our independent auditor for fiscal year 2026 is considered a routine matter for which brokerage firms may vote shares for which they have not received voting instructions. The other proposals to be voted on at our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 Abstentions and broker non-votes will have no effect on the outcome of the vote on these proposals.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votes must be present to hold the Annual Meeting?</w:t>
      </w:r>
    </w:p>
    <w:p>
      <w:pPr>
        <w:spacing w:after="0" w:line="229" w:lineRule="exact"/>
        <w:rPr>
          <w:sz w:val="20"/>
          <w:szCs w:val="20"/>
          <w:color w:val="auto"/>
        </w:rPr>
      </w:pPr>
    </w:p>
    <w:p>
      <w:pPr>
        <w:jc w:val="both"/>
        <w:ind w:firstLine="8"/>
        <w:spacing w:after="0" w:line="261" w:lineRule="auto"/>
        <w:tabs>
          <w:tab w:leader="none" w:pos="2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shares are counted as present at the Annual Meeting if you attend the Annual Meeting online or if you properly return a proxy by telephone or mail. In order for us to conduct our Annual Meeting, at least thirty-three and 34/100ths of the outstanding shares of stock, as of the Record Date, entitled to vote must be present or represented by proxy at the Annual Meeting. This is referred to as a quorum. Abstentions and broker non-votes will be counted for purposes of establishing a quorum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votes are needed to elect directors?</w:t>
      </w:r>
    </w:p>
    <w:p>
      <w:pPr>
        <w:spacing w:after="0" w:line="229" w:lineRule="exact"/>
        <w:rPr>
          <w:sz w:val="20"/>
          <w:szCs w:val="20"/>
          <w:color w:val="auto"/>
        </w:rPr>
      </w:pPr>
    </w:p>
    <w:p>
      <w:pPr>
        <w:jc w:val="both"/>
        <w:ind w:firstLine="8"/>
        <w:spacing w:after="0" w:line="258" w:lineRule="auto"/>
        <w:tabs>
          <w:tab w:leader="none" w:pos="23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vote “FOR” each nominee or “WITHHOLD” to vote for each nominee. Unless you mark “WITHHOLD” with respect to a particular nominee or nominees, your proxy will be voted “FOR” each of the director nominees named in this proxy statement. In an uncontested election, a nominee will be elected as a director if the number of “FOR” votes exceeds the number of votes withholding authority. In a contested election, a nominee will be elected director if he receives more votes than another nominee. Thus, the five (5) directors with the most votes “FOR” will be elected to the Board. Broker non-votes and withheld votes will not affect the outcome of the vote on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votes are needed to approve the other proposals?</w:t>
      </w:r>
    </w:p>
    <w:p>
      <w:pPr>
        <w:spacing w:after="0" w:line="229" w:lineRule="exact"/>
        <w:rPr>
          <w:sz w:val="20"/>
          <w:szCs w:val="20"/>
          <w:color w:val="auto"/>
        </w:rPr>
      </w:pPr>
    </w:p>
    <w:p>
      <w:pPr>
        <w:jc w:val="both"/>
        <w:ind w:firstLine="8"/>
        <w:spacing w:after="0" w:line="253" w:lineRule="auto"/>
        <w:tabs>
          <w:tab w:leader="none" w:pos="24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meeting and entitled to vote is required to approve the election of the Board of Directors, an amendment to the Certificate of Incorporation, an amendment to the 2022 Plan, and ratify the appointment of our independent registered public accounting firm and approve the adjournment of the Annual Meeting. Abstentions will be treated as votes against these proposals. Brokerage firms have authority to vote customers’ unvoted shares held by the firms in street name on the ratification of the appointment of our independent registered public accounting firm and approval of the adjournment of the Annual Meeting. If a broker does not exercise this authority, such broker non-votes will have no effect on the results of this vote. Brokerage firms do not have authority to vote customers’ unvoted shares held by the firms in street name on the approval of the election of directors of the current Board of Directors, approval of an amendment to the 2022 Plan, approval of the amendment to the Certificate of Incorporation and approval to obtain the approval of our stockholders to appoint our independent registered public accounting firm. However, if our stockholders do not ratify the appointment of RBSM LLP as our independent registered public accounting firm for the fiscal year ending December 31, 2026, the audit committee of our Board will reconsider its appointment.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Q: Is voting confidential?</w:t>
      </w:r>
    </w:p>
    <w:p>
      <w:pPr>
        <w:spacing w:after="0" w:line="229" w:lineRule="exact"/>
        <w:rPr>
          <w:sz w:val="20"/>
          <w:szCs w:val="20"/>
          <w:color w:val="auto"/>
        </w:rPr>
      </w:pPr>
    </w:p>
    <w:p>
      <w:pPr>
        <w:jc w:val="both"/>
        <w:ind w:firstLine="8"/>
        <w:spacing w:after="0" w:line="266" w:lineRule="auto"/>
        <w:tabs>
          <w:tab w:leader="none" w:pos="24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keep all the proxies, ballots and voting tabulations private. We only let our Inspectors of Election, representatives of Equity Stock Transfer, examine these documents. Management will not know how you voted on a specific proposal unless it is necessary to meet legal requirements. We will, however, forward to management any written comments you make on the proxy card or that you otherwise provide.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When will the Company announce the voting results?</w:t>
      </w:r>
    </w:p>
    <w:p>
      <w:pPr>
        <w:spacing w:after="0" w:line="229" w:lineRule="exact"/>
        <w:rPr>
          <w:sz w:val="20"/>
          <w:szCs w:val="20"/>
          <w:color w:val="auto"/>
        </w:rPr>
      </w:pPr>
    </w:p>
    <w:p>
      <w:pPr>
        <w:ind w:firstLine="8"/>
        <w:spacing w:after="0" w:line="282" w:lineRule="auto"/>
        <w:tabs>
          <w:tab w:leader="none" w:pos="2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announce preliminary voting results after the adjournment of the Annual Meeting and will announce the final voting results of the Annual Meeting on a Current Report on Form 8-K filed with the SEC within four business days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Do any directors or officers of the Company have a personal interest in the matter to be acted upon at the Annual Meeting?</w:t>
      </w:r>
    </w:p>
    <w:p>
      <w:pPr>
        <w:spacing w:after="0" w:line="229" w:lineRule="exact"/>
        <w:rPr>
          <w:sz w:val="20"/>
          <w:szCs w:val="20"/>
          <w:color w:val="auto"/>
        </w:rPr>
      </w:pPr>
    </w:p>
    <w:p>
      <w:pPr>
        <w:ind w:firstLine="8"/>
        <w:spacing w:after="0" w:line="282" w:lineRule="auto"/>
        <w:tabs>
          <w:tab w:leader="none" w:pos="2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those directors who are nominated for election at the Annual Meeting, no officer or director has any substantial interest, direct or indirect, by security holdings or otherwise in all proposals voted on in Proposal 2, Proposal 3, Proposal 4 and Proposal 5 that is not shared by all other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other matters are presented for consideration at the Annual Meeting?</w:t>
      </w:r>
    </w:p>
    <w:p>
      <w:pPr>
        <w:spacing w:after="0" w:line="229" w:lineRule="exact"/>
        <w:rPr>
          <w:sz w:val="20"/>
          <w:szCs w:val="20"/>
          <w:color w:val="auto"/>
        </w:rPr>
      </w:pPr>
    </w:p>
    <w:p>
      <w:pPr>
        <w:jc w:val="both"/>
        <w:ind w:firstLine="8"/>
        <w:spacing w:after="0" w:line="261" w:lineRule="auto"/>
        <w:tabs>
          <w:tab w:leader="none" w:pos="23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knows of no other matters to be submitted to the stockholders at the Annual Meeting, other than those described herein. If other matters do arise, the Board has made no recommendation as to how the proxies will vote on such other matters. If any other matters properly come before the stockholders at the Annual Meeting, it is the intention of the persons named on the proxy card as proxies to vote the shares represented thereby on such matters in their discretion and in accordance with their best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Whom do I call if I have questions?</w:t>
      </w:r>
    </w:p>
    <w:p>
      <w:pPr>
        <w:spacing w:after="0" w:line="229" w:lineRule="exact"/>
        <w:rPr>
          <w:sz w:val="20"/>
          <w:szCs w:val="20"/>
          <w:color w:val="auto"/>
        </w:rPr>
      </w:pPr>
    </w:p>
    <w:p>
      <w:pPr>
        <w:ind w:firstLine="8"/>
        <w:spacing w:after="0" w:line="282" w:lineRule="auto"/>
        <w:tabs>
          <w:tab w:leader="none" w:pos="2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any questions, need additional material, or need assistance in voting your shares, please feel free to contact InvestorComLLC at (877) 972-0090.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MATTERS REQUIRING STOCKHOLDER ACTION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 (Item 1 on the Proxy Card)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five (5) nominees recommended by the Nominating and Corporate Governance Committee of the Board (the “Nominating and Corporate Governance Committee”) for election this year to hold office until the 2027 Annual Meeting of the Stockholders and until their respective successors are elected and qualified. Our Board has nominated: (i) Geoffrey Dow; (ii) Eric Francois; (iii) Cheryl Xu; (vi) Stephen Toovey; and (v) Paul Field and our management has no reason to believe that any nominee will be unable to serve. The biographies of each of the nominees contains information regarding the person’s service as a director, business experience, public-company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and the Board to determine that the person should serve as a director for the Company. In addition to the information presented above regarding each nominee’s specific experience, qualifications, attributes and skills that led our Board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60 Degrees Pharmaceuticals and our Board. Finally, we value their significant experience on other public company boards of directors and board committees.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nominee will be elected as a director if he receives a plurality of the votes cast, in person or by proxy, at the Annual Meeting. This means that the nominees for election as director who receive the highest number of affirmative votes at the Annual Meeting will be elected as director. Withheld votes and broker non-votes will have no effect on the outcome of the vote.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Unless otherwise instructed, the proxy holders will vote the proxies received by them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nominees named above. If any nominee becomes unavailable for election as a result of an unexpected occurrence, shares that would have been voted for that nominee will instead be voted for the election of a substitute nominee proposed by our Board.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election of all of these nominees.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ind w:left="384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29"/>
                <w:szCs w:val="29"/>
                <w:b w:val="1"/>
                <w:bCs w:val="1"/>
                <w:color w:val="auto"/>
                <w:vertAlign w:val="superscript"/>
              </w:rPr>
              <w:t>(1)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80" w:type="dxa"/>
            <w:vAlign w:val="bottom"/>
            <w:gridSpan w:val="2"/>
            <w:vMerge w:val="continue"/>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Board Committee</w:t>
            </w:r>
          </w:p>
        </w:tc>
        <w:tc>
          <w:tcPr>
            <w:tcW w:w="0" w:type="dxa"/>
            <w:vAlign w:val="bottom"/>
          </w:tcPr>
          <w:p>
            <w:pPr>
              <w:spacing w:after="0"/>
              <w:rPr>
                <w:sz w:val="1"/>
                <w:szCs w:val="1"/>
                <w:color w:val="auto"/>
              </w:rPr>
            </w:pPr>
          </w:p>
        </w:tc>
      </w:tr>
      <w:tr>
        <w:trPr>
          <w:trHeight w:val="198"/>
        </w:trPr>
        <w:tc>
          <w:tcPr>
            <w:tcW w:w="1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Geoffrey Dow</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Chief Executive Officer, President and</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June 1,</w:t>
            </w:r>
          </w:p>
        </w:tc>
        <w:tc>
          <w:tcPr>
            <w:tcW w:w="10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Tyrone Miller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18"/>
                <w:szCs w:val="18"/>
                <w:color w:val="auto"/>
              </w:rPr>
            </w:pP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Landon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Commercial Officer</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Eric Francois</w:t>
            </w: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7"/>
                <w:szCs w:val="17"/>
                <w:color w:val="auto"/>
              </w:rPr>
            </w:pPr>
          </w:p>
        </w:tc>
        <w:tc>
          <w:tcPr>
            <w:tcW w:w="3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Director</w:t>
            </w:r>
          </w:p>
        </w:tc>
        <w:tc>
          <w:tcPr>
            <w:tcW w:w="10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TBD</w:t>
            </w:r>
          </w:p>
        </w:tc>
        <w:tc>
          <w:tcPr>
            <w:tcW w:w="4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Audit – Chairman; Compensation; Nominating and Corporate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c>
          <w:tcPr>
            <w:tcW w:w="0" w:type="dxa"/>
            <w:vAlign w:val="bottom"/>
          </w:tcPr>
          <w:p>
            <w:pPr>
              <w:spacing w:after="0"/>
              <w:rPr>
                <w:sz w:val="1"/>
                <w:szCs w:val="1"/>
                <w:color w:val="auto"/>
              </w:rPr>
            </w:pPr>
          </w:p>
        </w:tc>
      </w:tr>
      <w:tr>
        <w:trPr>
          <w:trHeight w:val="198"/>
        </w:trPr>
        <w:tc>
          <w:tcPr>
            <w:tcW w:w="1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Cheryl Xu</w:t>
            </w:r>
          </w:p>
        </w:tc>
        <w:tc>
          <w:tcPr>
            <w:tcW w:w="6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Director</w:t>
            </w:r>
          </w:p>
        </w:tc>
        <w:tc>
          <w:tcPr>
            <w:tcW w:w="10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July 12,</w:t>
            </w:r>
          </w:p>
        </w:tc>
        <w:tc>
          <w:tcPr>
            <w:tcW w:w="49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Stephen Toovey</w:t>
            </w: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17"/>
                <w:szCs w:val="17"/>
                <w:color w:val="auto"/>
              </w:rPr>
            </w:pPr>
          </w:p>
        </w:tc>
        <w:tc>
          <w:tcPr>
            <w:tcW w:w="3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Director</w:t>
            </w:r>
          </w:p>
        </w:tc>
        <w:tc>
          <w:tcPr>
            <w:tcW w:w="10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July 12,</w:t>
            </w:r>
          </w:p>
        </w:tc>
        <w:tc>
          <w:tcPr>
            <w:tcW w:w="4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Nominating and Corporate Governance – Chairman; Compensation;</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Audit.</w:t>
            </w:r>
          </w:p>
        </w:tc>
        <w:tc>
          <w:tcPr>
            <w:tcW w:w="0" w:type="dxa"/>
            <w:vAlign w:val="bottom"/>
          </w:tcPr>
          <w:p>
            <w:pPr>
              <w:spacing w:after="0"/>
              <w:rPr>
                <w:sz w:val="1"/>
                <w:szCs w:val="1"/>
                <w:color w:val="auto"/>
              </w:rPr>
            </w:pPr>
          </w:p>
        </w:tc>
      </w:tr>
      <w:tr>
        <w:trPr>
          <w:trHeight w:val="198"/>
        </w:trPr>
        <w:tc>
          <w:tcPr>
            <w:tcW w:w="1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Paul Field</w:t>
            </w:r>
          </w:p>
        </w:tc>
        <w:tc>
          <w:tcPr>
            <w:tcW w:w="6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Director</w:t>
            </w:r>
          </w:p>
        </w:tc>
        <w:tc>
          <w:tcPr>
            <w:tcW w:w="10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July 12,</w:t>
            </w:r>
          </w:p>
        </w:tc>
        <w:tc>
          <w:tcPr>
            <w:tcW w:w="49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Compensation – Chairman; Audit; Nominating and Corporate</w:t>
            </w: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20"/>
                <w:szCs w:val="20"/>
                <w:color w:val="auto"/>
              </w:rPr>
            </w:pP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Geoffrey Dow </w:t>
      </w:r>
      <w:r>
        <w:rPr>
          <w:rFonts w:ascii="Times New Roman" w:cs="Times New Roman" w:eastAsia="Times New Roman" w:hAnsi="Times New Roman"/>
          <w:sz w:val="18"/>
          <w:szCs w:val="18"/>
          <w:color w:val="auto"/>
        </w:rPr>
        <w:t>is our Chief Executive Officer, President, and is also one of our directors. Dr. Dow has over 20 years of product development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tropical diseases and has an extensive publication and patent history. His decades of hands-on experience include 13 years in key leadership and advisory roles in the antimalarial drug development program at the Walter Reed Army Institute of Research and at the U.S. Army Medical Materiel Development Activity. Dr. Dow co-founded 60P in 2010. Since then, he has been involved in various projects, including leading the project development team in securing FDA-regulatory approval for Tafenoquine (as Arakoda) for malaria prophylaxis, securing a supply chain and access relating to Arakoda, managing post-marketing regulatory commitments, ensuring the successful prosecution of supporting patents on which Dr. Dow was an inventor, and ensuring the company adheres to GMP, quality, and pharmacovigilance requirements. Dr. Dow has also published a number of important safety reviews, clinical trials, non-clinical studies, on which he was a thought leader or contributor, which dispelled many of the myths about 8-aminoquinolines. As a scientist, experienced industry project manager and inventor, Dr. Dow’s ultimate goal is to develop and secure the regulatory approval and commercial success of products, old and new, for new indications in infectious disease. Dr. Dow received a B.Sc. (Hons) in Veterinary and Biomedical Science from Murdoch University, Perth, Western Australia (“Murdoch”) in 1994, a Ph.D. in Veterinary and Biomedical Science from Murdoch in 2000 and an MBA from the University of Maryland at College Park in 2012. We believe that Mr. Dow is well qualified to serve as a Director given his product development experience in tropical diseases.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Tyrone Miller </w:t>
      </w:r>
      <w:r>
        <w:rPr>
          <w:rFonts w:ascii="Times New Roman" w:cs="Times New Roman" w:eastAsia="Times New Roman" w:hAnsi="Times New Roman"/>
          <w:sz w:val="18"/>
          <w:szCs w:val="18"/>
          <w:color w:val="auto"/>
        </w:rPr>
        <w:t>is our Chief Financial Officer. Mr. Miller joined us in 2014 and has held a number of roles since then, including Treasurer. He worked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founder and Chief Executive Officer of 60P and raised over $6 million in external financing. Mr. Miller also established a multinational financial reporting system and worked with consultants in designing tax and credit strategies. He also provides key strategic advice in areas of financing and business planning to 60P. In addition, he is the founder and Principal of Tax &amp; Accounting Practice at Miller Tax &amp; Advisory since 2011. In that role, Mr. Miller advises owners of closely held businesses on accounting, financial and tax matters and has designed accounting systems for private sector businesses. From 2002 to 2011, he was a Senior Accountant at Sachs Figurelli, LLC, where he prepared and processed corporate and individual tax returns, consulted on reengineering accounting processes for construction, restaurant and professional services businesses and managed staff in preparation and processing of payroll and personal property returns. Mr. Miller is currently a Certified Public Accountant. He received a Bachelor’s of Business Administration with a concentration in International Business from Emory University in 1996.</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Kristen Landon </w:t>
      </w:r>
      <w:r>
        <w:rPr>
          <w:rFonts w:ascii="Times New Roman" w:cs="Times New Roman" w:eastAsia="Times New Roman" w:hAnsi="Times New Roman"/>
          <w:sz w:val="18"/>
          <w:szCs w:val="18"/>
          <w:color w:val="auto"/>
        </w:rPr>
        <w:t>is our Chief Commercial Officer. Ms. Landon joined us in 2024 and brings over 26 years’ experience building and transforming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brands in both start-up and large multinational companies. Ms. Landon has launched and relaunched over a dozen brands, many with peak revenues in excess of $100 million across therapeutic categories including women’s health, infectious disease, dermatology, nephrology, and hematology/oncology. Most recently, Ms. Landon served as Senior Vice President of Marketing and Communications at TherapeuticsMD with responsibility for the branded portfolio, marketing insights, and corporate communications. Prior commercial leadership roles include VP Marketing at Radius Health, VP Marketing at Sprout Pharmaceuticals (acquired by Valeant), Executive Director Women’s Health at Actavis Plc, and positions of increasing responsibility in sales and marketing at Forest Labs, Abbott Labs, and Novartis. Ms. Landon holds an MBA from Silberman College of Business at Fairleigh Dickinson University, and a Bachelor’s degree from Kean University.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Francois </w:t>
      </w:r>
      <w:r>
        <w:rPr>
          <w:rFonts w:ascii="Times New Roman" w:cs="Times New Roman" w:eastAsia="Times New Roman" w:hAnsi="Times New Roman"/>
          <w:sz w:val="18"/>
          <w:szCs w:val="18"/>
          <w:color w:val="auto"/>
        </w:rPr>
        <w:t>Eric Francois will become a Director of the company and our Audit Chair as of the date of this meeting if approved by shareholders. Eric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Francois is a strategic financial executive with over 20 years of leadership experience in the healthcare and life sciences sectors. He currently serves as an Independent Director of CERo Therapeutics, Inc. (OTCQB: CERO) and as an independent strategic advisor to emerging life sciences companies. Mr. Francois previously served as Managing Director in Healthcare Investment Banking at Raymond James and Credit Suisse, where he led numerous equity, debt, and M&amp;A transactions for small- and mid-cap biotechnology companies. Prior to his investment banking roles, he was Chief Financial Officer of SCYNEXIS, Inc. (Nasdaq: SCYX), where he oversaw finance, corporate development, investor relations, and operations, and raised over $300 million in capital to support the company’s growth through FDA approval and commercial launch. He has also served as an independent director of Diffusion Pharmaceuticals Inc. (Nasdaq: DFFN), including roles on its Audit and Compensation Committees. Mr. Francois began his career in equity capital markets at Cowen &amp; Company and Lazard Frères and holds M.A. and B.A. degrees in business and economics from the Sorbonne University in Paris. The Board concluded that Mr. Francois experience as an investment banker, NASDAQ microcap biotech CFO, and general experience in the pharma industry qualify him to be a member of the Board.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22"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Allen </w:t>
      </w:r>
      <w:r>
        <w:rPr>
          <w:rFonts w:ascii="Times New Roman" w:cs="Times New Roman" w:eastAsia="Times New Roman" w:hAnsi="Times New Roman"/>
          <w:sz w:val="18"/>
          <w:szCs w:val="18"/>
          <w:color w:val="auto"/>
        </w:rPr>
        <w:t>has been one of our directors since July 11, 2023 and will exit his Board role on the date of this meeting. Since February 5, 2014, 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Executive Officer of BTCS Inc. (“BTCS”) and the Chairman of the Board of BTCS since September 11, 2014. Mr. Allen is responsible for BTCS’ overall corporate strategy and direction. Since December 2, 2022, Mr. Allen has been a director of Innovation1 Biotech Inc. Since January 12, 2018, Mr. Allen has been the Chief Executive Officer of Global Bit Ventures Inc. (“GBV”). Since October 10, 2017, Mr. Allen has been a director of GBV. Mr. Allen has extensive experience in business strategy and structuring and executing a variety of investment banking and capital markets transactions, including financings, initial public offerings, and mergers and acquisitions. Prior to his work in the blockchain industry at BTCS, he worked domestically and internationally on projects in technology, media, natural resources, logistics, medical services, and financial services. He has served as a managing director at numerous boutique investment banks focused on advising and raising capital for small and mid-size companies. Mr. Allen received a Bachelor of Science in Mechanical Engineering from Lehigh University and a Master of Business Administration from the Mason School of Business at the College of William &amp; Mary. The Board concluded that Mr. Allen’s background and leadership experiences in the financial industry qualify him to be a member of the Board.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Cheryl Xu </w:t>
      </w:r>
      <w:r>
        <w:rPr>
          <w:rFonts w:ascii="Times New Roman" w:cs="Times New Roman" w:eastAsia="Times New Roman" w:hAnsi="Times New Roman"/>
          <w:sz w:val="18"/>
          <w:szCs w:val="18"/>
          <w:color w:val="auto"/>
        </w:rPr>
        <w:t>is one of our directors since July 11, 2023 and until recently served as Biogen’s Vice President, Public Policy &amp; Government Affairs since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Xu was PhRMA’s first Representative to China. Subsequently she started a consulting business in 2005, advising well-known multinational companies such as Pfizer, J&amp;J and UnitedHealth Group on their market access and expansion strategies in China. Cheryl has provided consultations to both the U.S. and Chinese governments on pharmaceutical policies including strengthening of IP protection and monitoring system for China’s API exports. Prior to that, she was the Director of International Finance at Pharmacia based in New Jersey from 1998 to 2003. Ms. Xu received her Bachelor of Science degree in Physics from Peking University, and Master of Business Administration in Finance from Washington University in St. Louis. The Board concluded that Ms. Xu’s background and leadership experiences in the pharmaceutical industry qualify her to be a member of the Board.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Stephen Toovey </w:t>
      </w:r>
      <w:r>
        <w:rPr>
          <w:rFonts w:ascii="Times New Roman" w:cs="Times New Roman" w:eastAsia="Times New Roman" w:hAnsi="Times New Roman"/>
          <w:sz w:val="18"/>
          <w:szCs w:val="18"/>
          <w:color w:val="auto"/>
        </w:rPr>
        <w:t>is one of our directors since July 11, 2023 and is an infectious and tropical disease physician. Dr. Toovey has worked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industry and academia in both developed and developing countries, and currently specializes in the research of influenza and other respiratory viruses, malaria, rabies and the neurological aspects of infectious diseases. He is currently the Chief Executive Officer of Pegasus, a medical and scientific services company and has held that position since 2008. Dr. Toovey also advises a number of pharmaceutical companies and biotech organizations on infection and immunology related matters, from translation through Phase IV, and founded numerous pharmaceutical and pharma-related companies, with the most recent being the co-founding of Ark Biosciences in 2014. Dr. Toovey served as Chief Medical Officer of Ark Biosciences from 2014 until 2020. In addition, he held a teaching and clinical post at the Royal Free and University College Medical School in London, United Kingdom, Academic Centre for Travel Medicine and Vaccines, World Health Organization Collaborating Center, appointed in 2008. He has been editor of the journal Travel Medicine and Infectious Disease since its foundation in 2003. Dr. Toovey has authored over 100 publications in peer reviewed medical journals, contributed to a number of textbooks and has presented at over 50 scientific meetings. Dr. Toovey received his PhD from the University of Ghent. The Board concluded that Dr. Toovey’s background and leadership experiences in the pharmaceutical industry and academia qualify him to be a member of the Board.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Field </w:t>
      </w:r>
      <w:r>
        <w:rPr>
          <w:rFonts w:ascii="Times New Roman" w:cs="Times New Roman" w:eastAsia="Times New Roman" w:hAnsi="Times New Roman"/>
          <w:sz w:val="18"/>
          <w:szCs w:val="18"/>
          <w:color w:val="auto"/>
        </w:rPr>
        <w:t>is one of our directors since July 11, 2023. Paul has over 30 years of business development experience across a range of disease areas,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network in the global biopharmaceutical industry. He is currently a corporate advisor at Imunexus since 2020, Marinova since 2018, and GARDP (Switzerland) since 2018. He was until recently the Australian representative of FIND (Switzerland) from 2018 to 2021 and a business development advisor to the drug discovery company Biocurate from 2018 to 2020. Paul was previously the life sciences specialist at Austrade from 2014 to 2018, the Australian Government’s investment promotion agency, where he facilitated foreign direct investment into Australian research in neglected tropical diseases, infectious diseases, autoimmune diseases, cancer and other therapeutic areas. Paul was the founder and Executive Chairman of Bio-Link from 2005 to 2014, a privately owned biotechnology business development company. His work at Bio-Link involved the commercialization of discovery, pre-clinical and early-stage clinical programs undertaken by Australian biotech companies and medical research institutions. Paul has served on a number of Boards of Directors, and he is a Fellow of the Australian Institute of Company Directors. The Board concluded that Mr. Field’s background and leadership experiences in the biotechnology industry qualify him to be a member of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best of our knowledge, none of our directors or executive officers have, during the past ten years, been involved in any legal proceedings described in subparagraph (f) of Item 401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and affairs of 60 Degrees Pharmaceuticals are managed under the direction of the Board. The Board believes that good corporate governance is a critical factor in achieving business success and in fulfilling the Board’s responsibilities to the Company’s stockholders. The Board believes that its practices align management and stockholder interests.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Governance section of the Company website makes available the Company’s corporate governance materials, including the Certificate of Incorporation, as corrected, as of the date of this Proxy Statement, and bylaws, the charters for each Board committee, the Company’s Code of Conduct and information about how to report concerns about the Company. To access these documents on the Company’s website, please visit </w:t>
      </w:r>
      <w:r>
        <w:rPr>
          <w:rFonts w:ascii="Times New Roman" w:cs="Times New Roman" w:eastAsia="Times New Roman" w:hAnsi="Times New Roman"/>
          <w:sz w:val="18"/>
          <w:szCs w:val="18"/>
          <w:i w:val="1"/>
          <w:iCs w:val="1"/>
          <w:color w:val="auto"/>
        </w:rPr>
        <w:t>https://60degreespharma.com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Composition/Election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presently consists of five (5) directors whose terms expire at this Annual Meeting. Our directors are elected annually. Four of the nominated directors have served on the Board since the effective date of the Company’s registration statement for its initial public offering in July 2023. A fifth, Eric Francois, will join the Board as of the date of this meeting if approved by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fixed the number of directors at five (5).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more detail later in this section, the Board has determined that three (3) of the five (5) individuals standing for election are independent under the rules of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met a total of six times during fiscal year 2025 in person or via video or teleconference and acted by unanimous written consent on twelve occasions. Each of the directors who served fiscal year 2025 attended all meetings of the Board, except for one Director on one occasion. Attendance for meetings of the Board committees was at least 67% during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of Nominees for The Board of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membership suggested by its members and other Board members, as well as management and stockholders. The Nominating and Corporate Governance Committee’s charter provides that it may retain a third-party executive search firm to identify candidates from time to time. Our Board seeks members from diverse professional backgrounds who combine a broad spectrum of experience and expertise with a reputation for integrity. Directors should have experience in positions with a high degree of responsibility, be leaders in the companies or institutions with which they are affiliated and are selected based upon contributions they can make to the Board and management. The Nominating and Corporate Governance Committee’s assessment of a proposed candidate may include a review of the person’s judgment, experience, independence, understanding of the Company’s business or other related industries and such other factors as the Nominating and Corporate Governance Committee determines are relevant in light of the needs of the Board. The Nominating and Corporate Governance Committee believes that its nominees should reflect a diversity of experience, gender, race, ethnicity and age. The Board does not have a specific policy regarding director diversity. The Nominating and Corporate Governance Committee also considers such other relevant factors as it deems appropriate, including the current composition of the Board, the balance of management and independent directors, and the evaluations of other prospective nominees, if 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evaluation, it is expected that each member of the Nominating and Corporate Governance Committee will interview the prospective nominee before the prospective nominee is presented to the full Board for consideration. After completing this evaluation and interview process, the Nominating and Corporate Governance Committee will make a recommendation to the full Board as to the person(s) who should be nominated by the Board, and the Board determines the nominee(s) after considering the recommendation and report of the Nominating and Corporate Governance Committee. We look for director candidates who have the skills and experience necessary to help us achieve success within our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each of our directors has the necessary qualifications to be a value-added member of our Board. As noted in the director biographies, our directors have experience, qualifications and skills across a wide range of public and private companies, possessing a broad spectrum of experience both individually and collectively.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 between any of the directors or the director nominee or officers of our Company or any other person pursuant to which any officer or director or director nominee was or is to be selected as an officer or director or director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Nominations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nominations or other business to be properly brought before an annual meeting by a stockholder, the stockholder must have given timely notice thereof in writing to the Nominating and Corporate Governance 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spacing w:after="0" w:line="220" w:lineRule="auto"/>
        <w:rPr>
          <w:sz w:val="20"/>
          <w:szCs w:val="20"/>
          <w:color w:val="auto"/>
        </w:rPr>
      </w:pPr>
      <w:r>
        <w:rPr>
          <w:rFonts w:ascii="Times New Roman" w:cs="Times New Roman" w:eastAsia="Times New Roman" w:hAnsi="Times New Roman"/>
          <w:sz w:val="18"/>
          <w:szCs w:val="18"/>
          <w:color w:val="auto"/>
        </w:rPr>
        <w:t>To be timely, a stockholder’s notice shall be delivered to the Chief Financial Officer at the principal executive offices of the Company not later than the close of business on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and not later than the close of</w:t>
      </w:r>
    </w:p>
    <w:p>
      <w:pPr>
        <w:jc w:val="both"/>
        <w:spacing w:after="0" w:line="220" w:lineRule="auto"/>
        <w:rPr>
          <w:sz w:val="20"/>
          <w:szCs w:val="20"/>
          <w:color w:val="auto"/>
        </w:rPr>
      </w:pPr>
      <w:r>
        <w:rPr>
          <w:rFonts w:ascii="Times New Roman" w:cs="Times New Roman" w:eastAsia="Times New Roman" w:hAnsi="Times New Roman"/>
          <w:sz w:val="18"/>
          <w:szCs w:val="18"/>
          <w:color w:val="auto"/>
        </w:rPr>
        <w:t>business on the later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and Rule 14a-4(d) thereunder (including such person’s written consent to being named in the proxy statement as a nominee and to serving as a director if elected); (B) as to the stockholder giving the notice and the beneficial owner, if any, on whose behalf the nomination is made: (i) the name and address of such stockholder, as they appear on the Company’s books, and of such beneficial owner, (ii) the class and number of shares of the Company that are owned beneficially and of record by such stockholder and such beneficial owner and (iii) whether either such stockholder or beneficial owner intends to deliver a proxy statement and form of proxy to holders of, in the case of the proposal, at least the percentage of the Company’s voting shares required under applicable law to carry the proposal or, in the case of a nomination or nominations, a sufficient number of holders of the Company’s voting shares to elect such nominee or nominees.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Nominations and the solicitation notice should be sent to the Nominating and Corporate Governance Committee, 60 Degrees Pharmaceuticals, Inc., 1025 Connecticut Avenue NW Suite 1000, Washington, D.C. 20036.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Proxy Statement, we have not received timely notice of any nomination by a stockholder.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Nominees for Director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recommended to the Board and the Board nominated Mr. Dow, Mr. Francois, Ms. Xu, Mr. Toovey and Mr. Field to stand for election for the five (5) Board seats. Each such individual has consented to serve if elected.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elected, we expect that all of the aforementioned nominees will serve as directors and hold office until the 2026 Annual Meeting of Stockholders and until their respective successors have been elected and qualified or until their death, retirement or resignation.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Ethical Guidelines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60 Degrees Pharmaceuticals’ code of business conduct and ethics (“Code”) was adopted to emphasize the Company’s commitment to the highest standards of business conduct. The Code applies to our directors, officers and employees, including our principal executive officer, principal financial officer and principal accounting officer or controller, or persons performing similar functions. The Code is available on our corporate website at </w:t>
      </w:r>
      <w:r>
        <w:rPr>
          <w:rFonts w:ascii="Times New Roman" w:cs="Times New Roman" w:eastAsia="Times New Roman" w:hAnsi="Times New Roman"/>
          <w:sz w:val="18"/>
          <w:szCs w:val="18"/>
          <w:i w:val="1"/>
          <w:iCs w:val="1"/>
          <w:color w:val="auto"/>
        </w:rPr>
        <w:t>https://investors.60degreespharma.com/corporate-governance/governance-overview</w:t>
      </w:r>
      <w:r>
        <w:rPr>
          <w:rFonts w:ascii="Times New Roman" w:cs="Times New Roman" w:eastAsia="Times New Roman" w:hAnsi="Times New Roman"/>
          <w:sz w:val="18"/>
          <w:szCs w:val="18"/>
          <w:color w:val="auto"/>
        </w:rPr>
        <w:t>. The Code requires compliance with applicable law, discusses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conflicts of interest are handled, requires familiarity with the Company’s disclosure requirements and provides for waivers under certain circumstances. We intend to disclose any amendments to our code of business conduct and ethics, or waivers of its requirements, on our website or in filings under the Exchange Act to the extent required by applicable rules and exchange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annually reviews the Board’s leadership structure and evaluates the performance and effectiveness of the Board. The Board retains the authority to modify its leadership structure in order to stay current with our Company’s circumstances and advance the best interests of the Company and its stockholders as and when appropriate. The Board’s annual self-evaluation includes questions regarding the Board’s opportunities for open communication and the effectiveness of executive sessions.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Policies and Practices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Independence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undertakes an annual review of director independence. During this review, the Board considers transactions and relationships between each director or any member of his or her immediate family and the Company and its subsidiaries and affiliates. The purpose of this review is to determine whether any such relationships or transactions were inconsistent with a determination that the director is independent. As a result of this review, the Board affirmatively determined that three (3) of the five (5) of the directors are independent of the Company and its management under Nasdaq rules. Geoffrey Dow and Cheryl Xu are not considered independent because of their employment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that the other directors did not have a material relationship with the Company, the Board concluded that Messrs. Allen, Toovey, Field and Francois had no other relationship with the Company other than their relationship as a director.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Board Committee Charters</w:t>
      </w:r>
      <w:r>
        <w:rPr>
          <w:rFonts w:ascii="Times New Roman" w:cs="Times New Roman" w:eastAsia="Times New Roman" w:hAnsi="Times New Roman"/>
          <w:sz w:val="18"/>
          <w:szCs w:val="18"/>
          <w:color w:val="auto"/>
        </w:rPr>
        <w:t xml:space="preserve">. The Audit Committee, the Compensation Committee and the Nominating and Corporate Governance Committee of the Board operate pursuant to written charters. These charters were approved by the Board and reflect certain best practices in corporate governance. These charters comply with the requirements of the Nasdaq. Each charter is available on the Company’s website at: </w:t>
      </w:r>
      <w:r>
        <w:rPr>
          <w:rFonts w:ascii="Times New Roman" w:cs="Times New Roman" w:eastAsia="Times New Roman" w:hAnsi="Times New Roman"/>
          <w:sz w:val="18"/>
          <w:szCs w:val="18"/>
          <w:i w:val="1"/>
          <w:iCs w:val="1"/>
          <w:color w:val="auto"/>
        </w:rPr>
        <w:t>https://investors.60degreespharma.com/corporate-governance/governance-overview</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Private Executive Sessions</w:t>
      </w:r>
      <w:r>
        <w:rPr>
          <w:rFonts w:ascii="Times New Roman" w:cs="Times New Roman" w:eastAsia="Times New Roman" w:hAnsi="Times New Roman"/>
          <w:sz w:val="18"/>
          <w:szCs w:val="18"/>
          <w:color w:val="auto"/>
        </w:rPr>
        <w:t>. Our non-management directors meet in executive session at each regular Board meeting. The executive sessions are attended only by the non-management directors. Our independent directors meet in executive sessions at least once per year and met once in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Advance Materials</w:t>
      </w:r>
      <w:r>
        <w:rPr>
          <w:rFonts w:ascii="Times New Roman" w:cs="Times New Roman" w:eastAsia="Times New Roman" w:hAnsi="Times New Roman"/>
          <w:sz w:val="18"/>
          <w:szCs w:val="18"/>
          <w:color w:val="auto"/>
        </w:rPr>
        <w:t>. Information and data important to the directors’ understanding of the business or matters to be considered at a Board or Board committee meeting are, to the extent practical, distributed to the directors sufficiently in advance of the meeting to allow careful review prior to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Access</w:t>
      </w:r>
      <w:r>
        <w:rPr>
          <w:rFonts w:ascii="Times New Roman" w:cs="Times New Roman" w:eastAsia="Times New Roman" w:hAnsi="Times New Roman"/>
          <w:sz w:val="18"/>
          <w:szCs w:val="18"/>
          <w:color w:val="auto"/>
        </w:rPr>
        <w:t>. The Board has access to management and outside advisers as follows:</w:t>
      </w:r>
    </w:p>
    <w:p>
      <w:pPr>
        <w:spacing w:after="0" w:line="223" w:lineRule="exact"/>
        <w:rPr>
          <w:sz w:val="20"/>
          <w:szCs w:val="20"/>
          <w:color w:val="auto"/>
        </w:rPr>
      </w:pPr>
    </w:p>
    <w:p>
      <w:pPr>
        <w:jc w:val="both"/>
        <w:ind w:left="660" w:hanging="328"/>
        <w:spacing w:after="0" w:line="26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Access to Management and Employees</w:t>
      </w:r>
      <w:r>
        <w:rPr>
          <w:rFonts w:ascii="Times New Roman" w:cs="Times New Roman" w:eastAsia="Times New Roman" w:hAnsi="Times New Roman"/>
          <w:sz w:val="18"/>
          <w:szCs w:val="18"/>
          <w:color w:val="auto"/>
        </w:rPr>
        <w:t>. Directors have full and unrestricted access to the management and employees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key members of management attend Board meetings to present information about the results, plans and operations of the business within their areas of responsibility.</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Access to Outside Advisors</w:t>
      </w:r>
      <w:r>
        <w:rPr>
          <w:rFonts w:ascii="Times New Roman" w:cs="Times New Roman" w:eastAsia="Times New Roman" w:hAnsi="Times New Roman"/>
          <w:sz w:val="18"/>
          <w:szCs w:val="18"/>
          <w:color w:val="auto"/>
        </w:rPr>
        <w:t>. The Board and its committees may retain counsel or consultants without obtaining the approval of any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advance or otherwise. The Audit Committee has the sole authority to retain and terminate the independent auditor. The Nominating and Corporate Governance Committee has the sole authority to retain search firms to be used to identify director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The Board’s Role In Risk Oversight</w:t>
      </w:r>
      <w:r>
        <w:rPr>
          <w:rFonts w:ascii="Times New Roman" w:cs="Times New Roman" w:eastAsia="Times New Roman" w:hAnsi="Times New Roman"/>
          <w:sz w:val="18"/>
          <w:szCs w:val="18"/>
          <w:color w:val="auto"/>
        </w:rPr>
        <w:t>. The Board maintains overall responsibility for overseeing the Company’s risk management, including succession planning, product safety and information and digital security. In furtherance of its responsibility, the Board has delegated specific risk-related responsibilities to the Audit Committee.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engages in substantive discussions of risk management at its regular committee meetings held during the year. At these meetings, it receives functional risk review reports covering significant areas of risk from the employees responsible for these functional areas, as well as receiving reports from the Chief Financial Officer who reports directly to the Chairperson of the Audit Committee. The Audit Committee also receives reports at each meeting regarding legal and regulatory risks from management and meets in separate executive sessions with our independent auditors and our Chief Financial Officer. The Audit Committee provides a summary to the full Board at certain Board meetings of the risk area reviewed together with any other risk related subjects discussed at the Audit Committee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The Board’s Role In Information Security</w:t>
      </w:r>
      <w:r>
        <w:rPr>
          <w:rFonts w:ascii="Times New Roman" w:cs="Times New Roman" w:eastAsia="Times New Roman" w:hAnsi="Times New Roman"/>
          <w:sz w:val="18"/>
          <w:szCs w:val="18"/>
          <w:color w:val="auto"/>
        </w:rPr>
        <w:t>. Information security and privacy has been and remains of the utmost importance to the Company in light of the value we place on maintaining the trust and confidence of our customers, employees and other stakeholders. Accordingly, our Chief Executive Officer and President advises the Audit Committee and the full Board at least once per year on our program for managing information security risks, including data privacy and data protection risks.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Access To The Board By Stockholders</w:t>
      </w:r>
      <w:r>
        <w:rPr>
          <w:rFonts w:ascii="Times New Roman" w:cs="Times New Roman" w:eastAsia="Times New Roman" w:hAnsi="Times New Roman"/>
          <w:sz w:val="18"/>
          <w:szCs w:val="18"/>
          <w:color w:val="auto"/>
        </w:rPr>
        <w:t>. Stockholders and other parties interested in communicating directly with individual directors, the non-management directors as a group or the entire Board may do so by writing to the Nominating and Corporate Governance Committee, c/o Nominating and Corporate Governance Committee Chairman, 60 Degrees Pharmaceuticals, Inc., 1025 Connecticut Avenue NW Suite 1000, Washington, D.C. 20036.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has approved a process for handling letters received by the Company and addressed to individual directors, non-management members of the Board or the Board. Under that process, the Chief Executive Officer and President of the Company reviews all such correspondence and regularly forwards to a designated individual member of the Nominating and Corporate Governance Committee copies of all such correspondence (although we do not forward commercial correspondence and correspondence duplicative in nature; however, we will retain duplicate correspondence and all duplicate correspondence will be available for directors’ review upon their request) and a summary of all such correspondence. The Chairman of the Nominating and Corporate Governance Committee will forward correspondence directed to individual directors as he deems appropriate. Written correspondence from stockholders relating to accounting, internal controls or auditing matters are immediately brought to the attention of the Company’s Audit Committee Chairman and handled in accordance with procedures established by the Audit Committee with respect to such matters.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a standing Audit Committee, Compensation Committee and Nominating and Corporate Governance Committee. The following table summarizes the members and functions of the Board’s committees.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6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Nominating and Governance – Chairman; Audit; Nominating and Corporate Governance.</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Audit – Chairman; Compensation; Nominating and Corporate Governance.</w:t>
            </w: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Field</w:t>
            </w: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6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Compensation – Chairman; Compensation; Audit.</w:t>
            </w:r>
          </w:p>
        </w:tc>
      </w:tr>
      <w:tr>
        <w:trPr>
          <w:trHeight w:val="655"/>
        </w:trPr>
        <w:tc>
          <w:tcPr>
            <w:tcW w:w="1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Committee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Its Members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Functions of the Committee</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Audit Committee:</w:t>
            </w:r>
          </w:p>
        </w:tc>
        <w:tc>
          <w:tcPr>
            <w:tcW w:w="120" w:type="dxa"/>
            <w:vAlign w:val="bottom"/>
          </w:tcPr>
          <w:p>
            <w:pPr>
              <w:spacing w:after="0"/>
              <w:rPr>
                <w:sz w:val="17"/>
                <w:szCs w:val="17"/>
                <w:color w:val="auto"/>
              </w:rPr>
            </w:pPr>
          </w:p>
        </w:tc>
        <w:tc>
          <w:tcPr>
            <w:tcW w:w="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recommending to the Board whether the audited financial statements should be included in our annual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report;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Paul Field.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made in connection with the preparation of our financial statements;</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discussing with management major risk assessment and risk management policies;</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monitoring the independence of the independent auditor;</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verifying the rotation of the lead (or coordinating) audit partner having primary responsibility for the audit and</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audit partner responsible for reviewing the audit as required by law;</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reviewing and approving all related-party transactions;</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inquiring and discussing with management our compliance with applicable laws and regulations;</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pre-approving all audit services and permitted non-audit services to be performed by our independent auditor,</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the fees and terms of the services to be performed;</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appointing or replacing the independent auditor;</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determining the compensation and oversight of the work of the independent auditor (including resolution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disagreements between management and the independent auditor regarding financial reporting) for the purpose of</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preparing or issuing an audit report or related work;</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establishing procedures for the receipt, retention and treatment of complaints received by us regarding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internal accounting controls or reports which raise material issues regarding our financial statements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accounting policies; and</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approving reimbursement of expenses incurred by our management team in identifying potential target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businesses.</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reviewing, approving and determining or making recommendations to our Board regarding the compensation of</w:t>
            </w:r>
          </w:p>
        </w:tc>
        <w:tc>
          <w:tcPr>
            <w:tcW w:w="0" w:type="dxa"/>
            <w:vAlign w:val="bottom"/>
          </w:tcPr>
          <w:p>
            <w:pPr>
              <w:spacing w:after="0"/>
              <w:rPr>
                <w:sz w:val="1"/>
                <w:szCs w:val="1"/>
                <w:color w:val="auto"/>
              </w:rPr>
            </w:pPr>
          </w:p>
        </w:tc>
      </w:tr>
      <w:tr>
        <w:trPr>
          <w:trHeight w:val="234"/>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Paul Field,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executive officers;</w:t>
            </w:r>
          </w:p>
        </w:tc>
        <w:tc>
          <w:tcPr>
            <w:tcW w:w="0" w:type="dxa"/>
            <w:vAlign w:val="bottom"/>
          </w:tcPr>
          <w:p>
            <w:pPr>
              <w:spacing w:after="0"/>
              <w:rPr>
                <w:sz w:val="1"/>
                <w:szCs w:val="1"/>
                <w:color w:val="auto"/>
              </w:rPr>
            </w:pPr>
          </w:p>
        </w:tc>
      </w:tr>
      <w:tr>
        <w:trPr>
          <w:trHeight w:val="198"/>
        </w:trPr>
        <w:tc>
          <w:tcPr>
            <w:tcW w:w="2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administering our equity compensation plans;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reviewing and approving, or makings recommendations to our Board regarding incentive compensation and</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compensation plans; and</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establishing and reviewing general policies relating to compensation and benefits of our employees.</w:t>
            </w:r>
          </w:p>
        </w:tc>
        <w:tc>
          <w:tcPr>
            <w:tcW w:w="0" w:type="dxa"/>
            <w:vAlign w:val="bottom"/>
          </w:tcPr>
          <w:p>
            <w:pPr>
              <w:spacing w:after="0"/>
              <w:rPr>
                <w:sz w:val="1"/>
                <w:szCs w:val="1"/>
                <w:color w:val="auto"/>
              </w:rPr>
            </w:pPr>
          </w:p>
        </w:tc>
      </w:tr>
      <w:tr>
        <w:trPr>
          <w:trHeight w:val="412"/>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Nominating and Corporate</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identifying, reviewing and evaluating candidates to serve on our Board consistent with criteria approved by our</w:t>
            </w:r>
          </w:p>
        </w:tc>
        <w:tc>
          <w:tcPr>
            <w:tcW w:w="0" w:type="dxa"/>
            <w:vAlign w:val="bottom"/>
          </w:tcPr>
          <w:p>
            <w:pPr>
              <w:spacing w:after="0"/>
              <w:rPr>
                <w:sz w:val="1"/>
                <w:szCs w:val="1"/>
                <w:color w:val="auto"/>
              </w:rPr>
            </w:pP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Governance Committee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w:t>
            </w: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evaluating director performance on our Board and applicable committees of our Board and determining whether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continued service on our Board is appropriate;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Paul Field</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evaluating nominations by stockholders of candidates for election to our Board; and</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governance matters.</w:t>
            </w:r>
          </w:p>
        </w:tc>
        <w:tc>
          <w:tcPr>
            <w:tcW w:w="0" w:type="dxa"/>
            <w:vAlign w:val="bottom"/>
          </w:tcPr>
          <w:p>
            <w:pPr>
              <w:spacing w:after="0"/>
              <w:rPr>
                <w:sz w:val="1"/>
                <w:szCs w:val="1"/>
                <w:color w:val="auto"/>
              </w:rPr>
            </w:pPr>
          </w:p>
        </w:tc>
      </w:tr>
      <w:tr>
        <w:trPr>
          <w:trHeight w:val="655"/>
        </w:trPr>
        <w:tc>
          <w:tcPr>
            <w:tcW w:w="2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Audit Committee: </w:t>
      </w:r>
      <w:r>
        <w:rPr>
          <w:rFonts w:ascii="Times New Roman" w:cs="Times New Roman" w:eastAsia="Times New Roman" w:hAnsi="Times New Roman"/>
          <w:sz w:val="18"/>
          <w:szCs w:val="18"/>
          <w:color w:val="auto"/>
        </w:rPr>
        <w:t>The members of the Audit Committee (for purposes of this report, the “Committee”) are Messrs. Charles Allen, who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Stephen Toovey and Paul Field. The Board has determined that all of the members of the Committee are independent within the meaning of applicable SEC regulations and the listing standards of the Nasdaq and that Mr. Allen, the Chair of the Committee, is qualified as an audit committee financial expert within the meaning of SEC regulations. The Board has also determined that Mr. Allen has accounting and related financial management expertise within the meaning of the listing standards of the Nasdaq and that each member of the Committee is financially literate within the meaning of the Nasdaq listing standards.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Charter: </w:t>
      </w:r>
      <w:r>
        <w:rPr>
          <w:rFonts w:ascii="Times New Roman" w:cs="Times New Roman" w:eastAsia="Times New Roman" w:hAnsi="Times New Roman"/>
          <w:sz w:val="18"/>
          <w:szCs w:val="18"/>
          <w:color w:val="auto"/>
        </w:rPr>
        <w:t>The Audit Committee operates under a written charter adopted by the Board. The charter is reviewed by management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annually, and any recommended changes are presented to the Committee for review and approval. The charter is available on our website at: </w:t>
      </w:r>
      <w:r>
        <w:rPr>
          <w:rFonts w:ascii="Times New Roman" w:cs="Times New Roman" w:eastAsia="Times New Roman" w:hAnsi="Times New Roman"/>
          <w:sz w:val="18"/>
          <w:szCs w:val="18"/>
          <w:i w:val="1"/>
          <w:iCs w:val="1"/>
          <w:color w:val="auto"/>
        </w:rPr>
        <w:t>https://investors.60degreespharma.com/corporate-governance/governance-overview</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Committee Responsibilities: </w:t>
      </w:r>
      <w:r>
        <w:rPr>
          <w:rFonts w:ascii="Times New Roman" w:cs="Times New Roman" w:eastAsia="Times New Roman" w:hAnsi="Times New Roman"/>
          <w:sz w:val="18"/>
          <w:szCs w:val="18"/>
          <w:color w:val="auto"/>
        </w:rPr>
        <w:t>The Committee assists the Board in fulfilling its responsibilities for general oversight of the integrity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the adequacy of the Company’s system of internal controls and procedures and disclosure controls and procedures, the Company’s risk management, the Company’s compliance with legal and regulatory requirements, the independent auditors’ qualifications and independence and the performance of the Company’s internal audit function and independent auditors. The Committee has the authority to obtain advice and assistance from outside legal, accounting or other advisors as the Committee deems necessary to carry out its duties and receive appropriate funding, as determined by the Committee, from the Company for such advice and assistance.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has sole authority over the selection of the Company’s independent auditors and manages the Company’s relationship with its independent auditors (who report directly to the Committee). Each year, the Committee evaluates the performance, qualifications and independence of the independent auditors. The Committee is also involved in the selection of the lead audit partner. In evaluating the Company’s independent auditors, the Committee considers the quality of the services provided, as well as the independent auditors’ and lead partner’s capabilities and technical expertise and knowledge of the Company’s operations and industry.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met four times during the fiscal year ended 2025. The Committee schedules its meetings with a view to ensuring that it devotes appropriate attention to all of its tasks. The Committee’s meetings generally include private sessions with the Company’s independent auditors and with the Company’s internal auditors, in each case without the presence of the Company’s management, as well as executive sessions consisting of only Committee members. In addition to the scheduled meetings, senior management confers with the Committee or its Chair from time to time, as senior management deems advisable or appropriate, in connection with issues or concerns that arise throughout the year.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is responsible for the Company’s financial reporting process, including its system of internal control over financial reporting, and for the preparation of consolidated financial statements in accordance with accounting principles generally accepted in the United States. The Company’s independent auditors are responsible for auditing those financial statements in accordance with professional standards and expressing an opinion as to their material conformity with U.S. generally accepted accounting principles and for auditing the effectiveness of the Company’s internal control over financial reporting. The Committee’s responsibility is to monitor and review the Company’s financial reporting process and discuss management’s report on the Company’s internal control over financial reporting. It is not the Committee’s duty or responsibility to conduct audits or accounting reviews or procedures. The Committee has relied, without independent verification, on management’s representations that the financial statements have been prepared with integrity and objectivity and in conformity with accounting principles generally accepted in the U.S. and that the Company’s internal control over financial reporting is effective. The Committee has also relied, without independent verification, on the opinion of the independent auditors included in their report regarding the Company’s financial statements and effectiveness of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Oversight Matters: </w:t>
      </w:r>
      <w:r>
        <w:rPr>
          <w:rFonts w:ascii="Times New Roman" w:cs="Times New Roman" w:eastAsia="Times New Roman" w:hAnsi="Times New Roman"/>
          <w:sz w:val="18"/>
          <w:szCs w:val="18"/>
          <w:color w:val="auto"/>
        </w:rPr>
        <w:t>As part of its oversight of the Company’s financial statements, the Committee reviews and discusses with both management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independent auditors all annual and quarterly financial statements prior to their issuance. With respect to each 2025 fiscal reporting period, management advised the Committee that each set of financial statements reviewed had been prepared in accordance with accounting principles generally accepted in the U.S., and reviewed significant accounting and disclosure issues with the Committee. These reviews included discussions with the independent auditors of matters required to be discussed pursuant to Public Company Accounting Oversight Board (“PCAOB”) Auditing Standard No. 1301 (Communication with Audit Committees), including the quality (not merely the acceptability) of the Company’s accounting principles, the reasonableness of significant judgments, the clarity of disclosures in the financial statements and disclosures related to critical accounting practices. The Committee has also discussed with RBSM matters relating to their respective independence, including a review of audit and non-audit fees and the written disclosures and letter received from RBSM required by applicable requirements of the Public Company Accounting Oversight Board (“PCAOB”) regarding their respective communications with the Committee concerning independence. The Committee also considered whether non-audit services provided by the independent auditors are compatible with the independent auditors’ independence. The Committee also received regular updates, and written summaries as required by the PCAOB rules (for tax and other services), on the amount of fees and scope of audit, audit-related, tax and other services provided.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Committee reviewed key initiatives and programs aimed at strengthening the effectiveness of the Company’s internal and disclosure control structure. As part of this process, the Committee continued to monitor the scope and adequacy of the Company’s internal auditing program, reviewing staffing levels and steps taken to implement recommended improvements in internal procedures and controls. The Committee also reviews and discusses legal and compliance matters with management, and, as necessary or advisable, the Company’s independent auditors.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 Recommendation</w:t>
      </w:r>
      <w:r>
        <w:rPr>
          <w:rFonts w:ascii="Times New Roman" w:cs="Times New Roman" w:eastAsia="Times New Roman" w:hAnsi="Times New Roman"/>
          <w:sz w:val="18"/>
          <w:szCs w:val="18"/>
          <w:color w:val="auto"/>
        </w:rPr>
        <w:t>: Based on the Committee’s discussions with management and the independent auditors and the Committee’s review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representations of management and the report of the independent auditors to the Board and stockholders, and subject to the limitations on the Committee’s role and responsibilities referred to above and in the Audit Committee Charter, the Committee recommended to the Board that it include the audited consolidated financial statements in the Company’s Annual Report on Form 10-K for the fiscal year ended December 31, 2025, for filing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report has been furnished by the members of the 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Allen,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Toovey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Field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establishes and reevaluates if it deems necessary or prudent in its discretion, the cash and equity awards (amount and manner or method of payment) to be made to non-employee directors for such fiscal year. In making this determination, the Compensation Committee may utilize such market standard metrics as it deems appropriate, including, without limitation, an analysis of cash compensation paid to our peer group’s independent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power and discretion to determine in the future whether non-employee directors should receive annual or other grants of options to purchase shares of common stock or other equity incentive awards in such amounts and under such policies as the Compensation Committee may determine utilizing such market standard metrics as it deems appropriate, including, without limitation, an analysis of equity awards granted to independent directors of our peer group.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compensation paid by the Company to its directors. The disclosure is provided for the fiscal year ended December 31, 2025.</w:t>
      </w:r>
    </w:p>
    <w:p>
      <w:pPr>
        <w:spacing w:after="0" w:line="15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53,000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Cheryl Xu</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45,000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53,240</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58,250</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Field</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50,000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58,250</w:t>
            </w:r>
          </w:p>
        </w:tc>
      </w:tr>
    </w:tbl>
    <w:p>
      <w:pPr>
        <w:spacing w:after="0" w:line="179" w:lineRule="exact"/>
        <w:rPr>
          <w:sz w:val="20"/>
          <w:szCs w:val="20"/>
          <w:color w:val="auto"/>
        </w:rPr>
      </w:pPr>
    </w:p>
    <w:p>
      <w:pPr>
        <w:jc w:val="center"/>
        <w:ind w:left="5540" w:right="820" w:hanging="5532"/>
        <w:spacing w:after="0" w:line="783" w:lineRule="auto"/>
        <w:tabs>
          <w:tab w:leader="none" w:pos="3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options granted during the fiscal year, computed in accordance with FASB ASC Topic 718.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compensation packages of the Company’s executive officers. The disclosure is provided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We refer to these individuals as our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140" w:type="dxa"/>
            <w:vAlign w:val="bottom"/>
            <w:gridSpan w:val="9"/>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2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Cash Bonus</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 Bonus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Option Award</w:t>
            </w: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Dow</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727,750</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24,175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323,425</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125,555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125,555</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Tyrone Miller</w:t>
            </w:r>
          </w:p>
        </w:tc>
        <w:tc>
          <w:tcPr>
            <w:tcW w:w="120" w:type="dxa"/>
            <w:vAlign w:val="bottom"/>
          </w:tcPr>
          <w:p>
            <w:pPr>
              <w:spacing w:after="0"/>
              <w:rPr>
                <w:sz w:val="17"/>
                <w:szCs w:val="17"/>
                <w:color w:val="auto"/>
              </w:rPr>
            </w:pPr>
          </w:p>
        </w:tc>
        <w:tc>
          <w:tcPr>
            <w:tcW w:w="96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5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215,000</w:t>
            </w:r>
          </w:p>
        </w:tc>
        <w:tc>
          <w:tcPr>
            <w:tcW w:w="400" w:type="dxa"/>
            <w:vAlign w:val="bottom"/>
            <w:gridSpan w:val="2"/>
          </w:tcPr>
          <w:p>
            <w:pPr>
              <w:jc w:val="right"/>
              <w:ind w:right="11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68,250</w:t>
            </w: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283,250</w:t>
            </w: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284,525</w:t>
            </w: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135,632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135,632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Landon</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11,791</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311,791</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113,570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470,862</w:t>
            </w: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periodically review, and may increase, base salaries in accordance with our normal annual compensation review for each of our named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12, 2023, Dr. Dow was granted a five-year option to purchase a cumulative total of no more than 1,250 shares of our common stock over five years, vesting on the last day of each quarter in each calendar year for five years and (ii) Mr. Miller was granted a five-year option to purchase a cumulative total of no more than 1,000 shares of our common stock vesting on the last day of each quarter in each calendar year for five years. The per share exercise price of the options was initially equal to the per share closing price of our common stock on the date of grant and had a cashless exercise provision. In November 2023, the Board reset the exercise price of the options to be equal to $240.00 and modified the vesting provisions of the option to vest annually in equal tranches over five years, rather than quarterly, with the first vesting date being December 31, 2024. The initial grant and subsequent amendment of these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Dr. Dow and Mr. Miller’s option grants, as subsequently amended, were considered effective.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subject to and contingent upon the stockholders of the Company approving the amendment to the 2022 Plan to increase the number of shares available under the 2022 Plan, we granted Ms. Landon a five-year option to purchase a total of 1,042 shares of our common stock with a per share exercise price to be determined by the Board on the date of grant. The options had a cashless exercise price and vest annually over five years, with the first vesting date being December 31, 3024. On September 26, 2024, the Board approved the grant of the options to Ms. Landon at a per share exercise price of $27.40.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Board approved the grant of 26,250 options to Dr. Dow and 3,750 options to Mr. Miller as equity-based long-term incentive awards, which vest in five equal tranches on the last date of each fiscal year over five years, with the first vesting date being December 31, 2024. The options were granted on January 2, 2025 with a per share exercise price of $26.20, the closing stock price on the grant date, and have a seven-year term.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Dow Employment Agreement. </w:t>
      </w:r>
      <w:r>
        <w:rPr>
          <w:rFonts w:ascii="Times New Roman" w:cs="Times New Roman" w:eastAsia="Times New Roman" w:hAnsi="Times New Roman"/>
          <w:sz w:val="18"/>
          <w:szCs w:val="18"/>
          <w:color w:val="auto"/>
        </w:rPr>
        <w:t>We entered into an Employment Agreement dated as of January 12, 2023, with Geoffrey Dow (the “Dow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our Chief Executive Officer and Chairman of our Board. The term of the Dow Employment Agreement began on January 12, 2023 for an initial period of two years, with subsequent automatic renewals unless either party thereto provides notice to terminate at least 90 days prior to the applicable renewal date. The Dow Employment Agreement initially provided Dr. Dow an annual base salary of $228,000 (increased to $250,000 effective at the beginning of fiscal year 2025), bonuses to the extent certain events occur or if applicable performance goals are met and employee benefits that are generally given to our senior executives. In December 2024, the Board approved an increase to Dr. Dow’s base salary to $250,000 beginning in fiscal year 2025. Contingent on the receipt of shareholder approval to increase the number of shares available under the 2022 Plan, Dr. Dow was granted a five-year option to purchase a cumulative total of no more than 1,250 shares of our common stock, vesting on the last day of each quarter in each calendar year over five years. The per share exercise price of the option was initially equal to the per share closing price of our common stock on the date of the initial public offering and shall have a cashless exercise provision. In November 2023, the Board reset the exercise price of the option to be equal to $240.00 and modified the vesting provisions of the option to vest annually in equal tranches over five years, rather than quarterly, with the first vesting date being December 31, 2024. The initial grant and subsequent amendment of Dr. Dow’s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Dr. Dow’s option grant, as subsequently amended, was considered effective.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terminate Dr. Dow’s employment for Cause, as defined in the Dow Employment Agreement, at any time upon notice to Dr. Dow setting forth in reasonable detail the nature of such Cause. We also may terminate Dr. Dow’s employment other than for Cause at any time upon thirty (30) days’ written notice to him. Dr. Dow may terminate his employment for Good Reason, as defined in the Dow Employment Agreement, at any time upon thirty (30) days’ written notice to us. In the event that Dr. Dow’s employment is terminated other than for Cause or for Good Reason, Dr. Dow will be entitled to, among other things, a continuation of his annual salary plus health insurance benefits for a period not exceeding 18 months. In addition, in the event of a Change in Control, as defined in the Dow Employment Agreement, on, or at any time during the 24 months following, the Change in Control, (i) we terminate Dr. Dow’s employment for any reason other than Cause or Disability, as defined in the Dow Employment Agreement, or (ii) Dr. Dow terminates his employment for Good Reason, Dr. Dow will be entitled to Change in Control severance.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Dow is subject to non-competition and non-solicitation during the term of his employment and for a period of 24 months after termination of his employment.</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Miller Employment Agreement</w:t>
      </w:r>
      <w:r>
        <w:rPr>
          <w:rFonts w:ascii="Times New Roman" w:cs="Times New Roman" w:eastAsia="Times New Roman" w:hAnsi="Times New Roman"/>
          <w:sz w:val="18"/>
          <w:szCs w:val="18"/>
          <w:color w:val="auto"/>
        </w:rPr>
        <w:t>. We entered into an Employment Agreement dated as of January 12, 2023 with Tyrone Miller (the “Miller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our Chief Financial Officer. The term of the Miller Employment Agreement began on January 12, 2023 and will continue for a period of two years, with subsequent automatic renewals unless either party thereto provides notice to terminate at least 90 days prior to the applicable renewal date. The Miller Employment Agreement initially provided Mr. Miller an annual base salary of $204,000 (increased to $215,000 effective at the beginning of fiscal year 2025), bonuses to the extent certain events occur or if applicable performance goals are met and employee benefits that are generally given to our senior executives. Contingent on the receipt of shareholder approval to increase the number of shares available under the 2022 Plan, Mr. Miller was granted a five-year option to purchase a cumulative total of no more than 1,000 shares of our common stock, vesting on the last day of each quarter in each calendar year over five years. The per share exercise price of the option was initially equal to the per share closing price of our common stock on the date of the initial public offering and shall have a cashless exercise provision. In November 2023, the Board reset the exercise price of the option to be equal to $240.00 and modified the vesting provisions of the option to vest annually in equal tranches over five years, rather than quarterly, with the first vesting date being December 31, 2024. The initial grant and subsequent amendment of Mr. Miller’s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Mr. Miller’s option grant, as subsequently amended, was considered effective.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terminate Mr. Miller’s employment hereunder for Cause, as defined in the Miller Employment Agreement, at any time upon notice to Mr. Miller setting forth in reasonable detail the nature of such Cause. We also may terminate Mr. Miller’s employment other than for Cause at any time upon thirty</w:t>
      </w:r>
    </w:p>
    <w:p>
      <w:pPr>
        <w:jc w:val="both"/>
        <w:ind w:firstLine="8"/>
        <w:spacing w:after="0" w:line="252" w:lineRule="auto"/>
        <w:tabs>
          <w:tab w:leader="none" w:pos="3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written notice to him. Mr. Miller may terminate his employment for Good Reason, as defined in the Miller Employment Agreement, at any time upon thirty (30) days’ written notice to us. In the event that Mr. Miller’s employment is terminated other than for Cause or for Good Reason, Mr. Miller will be entitled to, among other things, a continuation of his annual salary plus health insurance benefits for a period not exceeding 18 months. In addition, in the event of a Change in Control, as defined in the Miller Employment Agreement, on, or at any time during the 24 months following, the Change in Control, (i) we terminate Mr. Miller’s employment for any reason other than Cause or Disability, as defined in the Miller Employment Agreement, or (ii) Mr. Miller terminates his employment for Good Reason, Mr. Miller will be entitled to Change in Control severance.</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Miller is subject to non-competition and non-solicitation during the term of his employment and for a period of 24 months after termination of his employment.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Landon Employment Agreement</w:t>
      </w:r>
      <w:r>
        <w:rPr>
          <w:rFonts w:ascii="Times New Roman" w:cs="Times New Roman" w:eastAsia="Times New Roman" w:hAnsi="Times New Roman"/>
          <w:sz w:val="18"/>
          <w:szCs w:val="18"/>
          <w:color w:val="auto"/>
        </w:rPr>
        <w:t>. We entered into an Employment Agreement dated as of February 7, 2024 with Kristen Landon (the “Landon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Agreement”), our Chief Commercial Officer. The term of the Landon Employment Agreement began on February 12, 2024 and will continue at will, meaning that Ms. Landon or the Company may terminate the employment relationship at any time, with or without cause, and with or without notice and for any reason or no particular reason. The Landon Employment Agreement provides Ms. Landon an annual base salary of $300,000, sales bonuses and bonuses to the extent certain events occur or if applicable performance goals are met and employee benefits that are generally given to our senior executives. Contingent on the receipt of shareholder approval to increase the number of shares available under the 2022 Plan, Ms. Landon was granted a five-year option to purchase a total of 1,042 shares of our common stock with a per share exercise price to be determined by the Board on the date of grant. The options had a cashless exercise price and vest annually over five years, with the first vesting date being December 31, 3024. On September 26, 2024, after the receipt of stockholder approval to increase the number of shares available under the 2022 Plan, the Board approved the grant of the options to Ms. Landon at a per share exercise price of $27.40.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194"/>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 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unearned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exercisable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 vested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vested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Dow,</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1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President and Chief</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16, 2034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01"/>
        </w:trPr>
        <w:tc>
          <w:tcPr>
            <w:tcW w:w="182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(Principal Executive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182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2, 2032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Tyrone Miller,</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Officer</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July 16, 2034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Accounting</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1820" w:type="dxa"/>
            <w:vAlign w:val="bottom"/>
          </w:tcPr>
          <w:p>
            <w:pPr>
              <w:ind w:left="340"/>
              <w:spacing w:after="0" w:line="271" w:lineRule="exact"/>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29"/>
                <w:szCs w:val="29"/>
                <w:color w:val="auto"/>
                <w:vertAlign w:val="superscript"/>
              </w:rPr>
              <w:t>(2)</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2, 2032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Landon,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18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Chief Commercial</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September 26,</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0"/>
        </w:trPr>
        <w:tc>
          <w:tcPr>
            <w:tcW w:w="182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29"/>
                <w:szCs w:val="29"/>
                <w:color w:val="auto"/>
                <w:vertAlign w:val="superscript"/>
              </w:rPr>
              <w:t>(3)</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Dow’s option grant to purchase a total of 1,250 shares of our common stock vests annually on the last date of each fiscal year in five equal tranches, with the first vesting date being December 31, 2024, and Dr. Dow’s option grant to purchase a total of 26,250 shares of our common stock vests annually on the last date of each fiscal year in five equal tranches, with the first vesting date being December 31, 2024.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Miller’s option grant to purchase a total of 1,000 shares of our common stock vests annually on the last date of each fiscal year in five equal tranches, with the first vesting date being December 31, 2024, and Mr. Miller’s option grant to purchase a total of 3,750 shares of our common stock vests annually on the last date of each fiscal year in five equal tranches, with the first vesting date being December 31, 2024.</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Landon’s options to purchase a total of 1,042 shares of our common stock vest annually on the last date of each fiscal year in five equal tranches, with the first vesting date being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the outstanding shares of common stock of the Company to file with the SEC reports of their ownership and changes in their ownership of common stock of the Company. Directors, executive officers and greater-than-ten percent shareholders are also required to furnish the Company with copies of all ownership reports they file with the SEC. To our knowledge, based solely on a review of the copies of such reports furnished to the Company, Geoffrey Dow filed an incorrect Form 4 on September 15, 2025, which was corrected on March 20,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our only outstanding class of voting stock, known by us as of the Record Date, by:</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be the beneficial owner of more than 5%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thus, represents voting or investment power with respect to our securities as of the Record Date. In computing the number and percentage of shares beneficially owned by a person, shares that may be acquired by such person within 60 days of the Record Date are counted as outstanding, while these shares are not counted as outstanding for computing the percentage ownership of any other person. Except as otherwise indicated, the persons listed below have sole voting and investment power with respect to all shares of our common stock owned by them, except to the extent such power may be shared with a spouse. Unless otherwise noted, the address of each person below is c/o 60 Degrees Pharmaceuticals, Inc., 1025 Connecticut Avenue NW Suite 1000, Washington, D.C. 20036.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245"/>
        </w:trPr>
        <w:tc>
          <w:tcPr>
            <w:tcW w:w="4520" w:type="dxa"/>
            <w:vAlign w:val="bottom"/>
            <w:gridSpan w:val="2"/>
            <w:vMerge w:val="continue"/>
          </w:tcPr>
          <w:p>
            <w:pPr>
              <w:spacing w:after="0"/>
              <w:rPr>
                <w:sz w:val="21"/>
                <w:szCs w:val="21"/>
                <w:color w:val="auto"/>
              </w:rPr>
            </w:pP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0" w:type="dxa"/>
            <w:vAlign w:val="bottom"/>
          </w:tcPr>
          <w:p>
            <w:pPr>
              <w:spacing w:after="0"/>
              <w:rPr>
                <w:sz w:val="1"/>
                <w:szCs w:val="1"/>
                <w:color w:val="auto"/>
              </w:rPr>
            </w:pPr>
          </w:p>
        </w:tc>
      </w:tr>
      <w:tr>
        <w:trPr>
          <w:trHeight w:val="216"/>
        </w:trPr>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120" w:type="dxa"/>
            <w:vAlign w:val="bottom"/>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Dow</w:t>
            </w:r>
          </w:p>
        </w:tc>
        <w:tc>
          <w:tcPr>
            <w:tcW w:w="3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27,825</w:t>
            </w:r>
            <w:r>
              <w:rPr>
                <w:rFonts w:ascii="Times New Roman" w:cs="Times New Roman" w:eastAsia="Times New Roman" w:hAnsi="Times New Roman"/>
                <w:sz w:val="29"/>
                <w:szCs w:val="29"/>
                <w:color w:val="auto"/>
                <w:vertAlign w:val="superscript"/>
              </w:rPr>
              <w:t>(2)</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5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Tyrone Miller</w:t>
            </w: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4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3,219</w:t>
            </w:r>
            <w:r>
              <w:rPr>
                <w:rFonts w:ascii="Times New Roman" w:cs="Times New Roman" w:eastAsia="Times New Roman" w:hAnsi="Times New Roman"/>
                <w:sz w:val="29"/>
                <w:szCs w:val="29"/>
                <w:color w:val="auto"/>
                <w:vertAlign w:val="superscript"/>
              </w:rPr>
              <w:t>(3)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Landon</w:t>
            </w:r>
          </w:p>
        </w:tc>
        <w:tc>
          <w:tcPr>
            <w:tcW w:w="3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Commercial Officer</w:t>
            </w:r>
          </w:p>
        </w:tc>
        <w:tc>
          <w:tcPr>
            <w:tcW w:w="14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1,553</w:t>
            </w:r>
            <w:r>
              <w:rPr>
                <w:rFonts w:ascii="Times New Roman" w:cs="Times New Roman" w:eastAsia="Times New Roman" w:hAnsi="Times New Roman"/>
                <w:sz w:val="29"/>
                <w:szCs w:val="29"/>
                <w:color w:val="auto"/>
                <w:vertAlign w:val="superscript"/>
              </w:rPr>
              <w:t>(4)</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2,131</w:t>
            </w:r>
            <w:r>
              <w:rPr>
                <w:rFonts w:ascii="Times New Roman" w:cs="Times New Roman" w:eastAsia="Times New Roman" w:hAnsi="Times New Roman"/>
                <w:sz w:val="29"/>
                <w:szCs w:val="29"/>
                <w:color w:val="auto"/>
                <w:vertAlign w:val="superscript"/>
              </w:rPr>
              <w:t>(5)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Cheryl Xu</w:t>
            </w:r>
          </w:p>
        </w:tc>
        <w:tc>
          <w:tcPr>
            <w:tcW w:w="3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6,026</w:t>
            </w:r>
            <w:r>
              <w:rPr>
                <w:rFonts w:ascii="Times New Roman" w:cs="Times New Roman" w:eastAsia="Times New Roman" w:hAnsi="Times New Roman"/>
                <w:sz w:val="29"/>
                <w:szCs w:val="29"/>
                <w:color w:val="auto"/>
                <w:vertAlign w:val="superscript"/>
              </w:rPr>
              <w:t>(6)</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2,131</w:t>
            </w:r>
            <w:r>
              <w:rPr>
                <w:rFonts w:ascii="Times New Roman" w:cs="Times New Roman" w:eastAsia="Times New Roman" w:hAnsi="Times New Roman"/>
                <w:sz w:val="29"/>
                <w:szCs w:val="29"/>
                <w:color w:val="auto"/>
                <w:vertAlign w:val="superscript"/>
              </w:rPr>
              <w:t>(7)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Field</w:t>
            </w:r>
          </w:p>
        </w:tc>
        <w:tc>
          <w:tcPr>
            <w:tcW w:w="3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8"/>
                <w:szCs w:val="18"/>
                <w:color w:val="auto"/>
              </w:rPr>
              <w:t>2,131</w:t>
            </w:r>
            <w:r>
              <w:rPr>
                <w:rFonts w:ascii="Times New Roman" w:cs="Times New Roman" w:eastAsia="Times New Roman" w:hAnsi="Times New Roman"/>
                <w:sz w:val="29"/>
                <w:szCs w:val="29"/>
                <w:color w:val="auto"/>
                <w:vertAlign w:val="superscript"/>
              </w:rPr>
              <w:t>(8)</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and Directors as a Group (total of 7 persons)</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45,016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based on 2,659,288 shares of common stock issued and outstanding as of [___], 2026 plus shares of common stock the person has the right to acquire within 60 days thereafter. Unless otherwise indicated, the principal address of the named executives and directors is c/o 1025 Connecticut Avenue NW Suite 1000, Washington, D.C. 20036. On January 20, 2026, the Company effectuated a 1-for-4 Reverse Stock Split of its outstanding common stock. Accordingly, all share numbers presented in this table have been adjusted to reflect the Reverse Stock Split.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ind w:left="340" w:hanging="332"/>
        <w:spacing w:after="0" w:line="258"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14,001 shares of our common stock held in the name of Geoffrey Dow, (ii) 2,780 shares of common stock held by the Geoffrey S. Dow Revocable Trust (the “Dow Trust”), of which Geoffrey Dow is the trustee and has control over the voting and disposition of the shares of common stock held by the Dow Trust, (iii) 44 shares of common stock issuable upon exercise of warrants issued to the Geoffrey S. Dow Revocable Trust, (iv) 500 shares underlying fully vested options exercisable into common stock at a per share exercise price of $240.00, and (v) 10,500 shares underlying fully vested options exercisable into common stock at a per share exercise price of $26.20.</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1,319 shares of our common stock held in the name of Tyrone Miller, (ii) 400 shares underlying fully vested options exercisable into common stock at a per share exercise price of $240.00 and (iii) 1,500 shares underlying fully vested options exercisable into common stock at a per share exercise price of $26.20.</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Landon beneficially owns a total of 1,553 shares of common stock, of which includes (i) 1,135 shares of common stock held in the name of Ms. Landon, and (ii) 418 shares underlying fully vested options exercisable into common stock at a per share exercise price of $27.40.</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Allen beneficially owns a total of 2,131 shares of common stock, of which includes (i) 59 shares of common stock held in the name of Mr. Allen,</w:t>
      </w:r>
    </w:p>
    <w:p>
      <w:pPr>
        <w:spacing w:after="0" w:line="27" w:lineRule="exact"/>
        <w:rPr>
          <w:rFonts w:ascii="Times New Roman" w:cs="Times New Roman" w:eastAsia="Times New Roman" w:hAnsi="Times New Roman"/>
          <w:sz w:val="18"/>
          <w:szCs w:val="18"/>
          <w:color w:val="auto"/>
        </w:rPr>
      </w:pPr>
    </w:p>
    <w:p>
      <w:pPr>
        <w:ind w:left="340" w:right="20" w:hanging="8"/>
        <w:spacing w:after="0" w:line="260" w:lineRule="auto"/>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shares underlying fully vested options exercisable into common stock at a per share exercise price of $1,272.00, and (iii) 2,000 shares underlying fully vested options exercisable into common stock at a per share exercise price of $5.84.</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Xu beneficially owns a total of 6,026 shares of common stock, of which includes (i) 3,954 shares of common stock held in the name of Ms. Xu,</w:t>
      </w:r>
    </w:p>
    <w:p>
      <w:pPr>
        <w:spacing w:after="0" w:line="27" w:lineRule="exact"/>
        <w:rPr>
          <w:rFonts w:ascii="Times New Roman" w:cs="Times New Roman" w:eastAsia="Times New Roman" w:hAnsi="Times New Roman"/>
          <w:sz w:val="18"/>
          <w:szCs w:val="18"/>
          <w:color w:val="auto"/>
        </w:rPr>
      </w:pPr>
    </w:p>
    <w:p>
      <w:pPr>
        <w:ind w:left="340" w:right="20" w:hanging="8"/>
        <w:spacing w:after="0" w:line="260" w:lineRule="auto"/>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shares underlying fully vested options exercisable into common stock at a per share exercise price of $1,272.00, and (iii) 2,000 shares underlying fully vested options exercisable into common stock at a per share exercise price of $5.84.</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Toovey beneficially owns a total of 2,131 shares of common stock, of which includes (i) 59 shares of common stock held in the name of Mr. Toovey, (ii) 72 shares underlying fully vested options exercisable into common stock at a per share exercise price of $1,272.00, and (iii) 2,000 shares underlying fully vested options exercisable into common stock at a per share exercise price of $5.84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Field beneficially owns a total of 2,131 shares of common stock, of which includes (i) 42 shares of common stock held by the Field Family Trust, of which Mr. Field is a trustee and has control over the voting and disposition of the shares of common stock held by the Field Family Trust, (ii) 17 shares of common stock held in the name of Mr. Field, (iii) 72 shares underlying fully vested options exercisable into common stock at a per share exercise price of $1,272.00, and (iv) 2,000 shares underlying fully vested options exercisable into common stock at a per share exercise price of $5.84.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Company’s policies and procedures for the review of related person transactions the Audit Committee reviews related person transactions in which we are or will be a participant to determine if they are in the best interests of our stockholders and the Company. Transactions, arrangements or relationships or any series of similar transactions, arrangements or relationships in which a related person had or will have a material interest and that exceed $120,000 are subject to the Audit Committee’s review. Any member of the Audit Committee who is a related person with respect to a transaction under review may not participate in the deliberation or vote respecting approval or ratification of the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persons are directors, director nominees, executive officers, holders of 5% or more of our voting stock and their immediate family members. Immediate family members are spouses, parents, stepparents, children, stepchildren, siblings, daughters-in-law, sons-in-law and any person, other than a tenant or domestic employee, who resides in the household of a director, director nominee, executive officer or holder of 5% or more of our voting stock. After its review, the Audit Committee may approve or ratify the transaction.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as disclosed below, and except for the regular salary and bonus payments made to our directors and officers in the ordinary course of business as described in the section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there have been no transactions since January 1, 2024 or any currently proposed transaction or series of similar transactions to which the Company was or is to be a party, in which the amount involved exceeds USD$120,000 and in which any current or former director or officer of the Company, any 5% or greater stockholder of the Company or any member of the immediate family of any such persons had or will have a direct or indirect material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APPROVAL OF AN AMENDMENT TO INCREASE THE NUMBER OF AUTHORIZED SHARES UNDER THE 2022 EQUITY INCENTIVE PLAN BY 800,000 SHARES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has adopted a resolution declaring it advisable and in the best interests of the Company and its stockholders that the shares of common stock authorized for issuance under the 2022 Plan be increased by 800,000 (the “Plan Amendment”).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22, 2022, our Board and our stockholders approved the 60 Degrees Pharmaceuticals, Inc. 2022 Equity Incentive Plan. The 2022 Plan governs equity awards to our employees, directors, officers, consultants and other eligible participants. Initially, the maximum number of shares of our common stock that may be subject to awards under the 2022 Plan was equal to 3,977. The 2022 Plan provides for an annual automatic increase in the number of shares available for issuance beginning on January 1, 2023, and each January 1 thereafter, by four percent (4%) of the number of outstanding shares of common stock on the immediately preceding December 31, or such lesser number of shares as determined by our Board. As of the Record Date, the maximum shares of our common stock that may be subject to awards under the 2022 Plan is equal to 162,889.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2022 Plan is to attract and retain the best available personnel for positions of substantial responsibility, to provide additional incentive to employees, directors and consultants, and to promote the success of our business. The administrator of the 2022 Plan may, in its sole discretion, amend, alter, suspend or terminate the 2022 Plan, or any part thereof, at any time and for any reason. Unless earlier terminated by the administrator, the 2022 Plan will terminate ten years from the date it is adopted by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Purpose of the Stockholder Approval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order to give the Company the flexibility to responsibly address its future equity compensation needs, the Company is requesting that stockholders approve the Plan Amendment, which will authorize an additional 800,000 shares for issuance under the 2022 Plan, so that an overall total of 962,889 shares will be reserved under the 2022 Plan. Having a sufficient number of shares under the 2022 Plan is critical to our ability to continue to attract, retain, engage and focus highly motivated and qualified employees, particularly in the competitive labor market that exists today in our industry. A copy of the Plan Amendment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a copy of the 2022 Plan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have no rights under the DGCL or under our Certificate of Incorporation to exercise dissenters’ rights of appraisal with respect to the approval of the Plan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2022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features of the 2022 Plan are summarized below, but the below summary is qualified in its entirety by reference to the full text of the plan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Initially, the maximum number of shares of our common stock that may be subject to awards under the 2022 Plan was equal to 995. The 2022 Plan provides for an annual automatic increase in the number of shares available for issuance beginning on January 1, 2023, and each January 1 thereafter, by four percent (4%) of the number of outstanding shares of common stock on the immediately preceding December 31, or such lesser number of shares as determined by our Board. On July 16, 2024, November 6, 2024, and September 30, 2025 our stockholders approved an increase to the number of shares available under the 2022 Plan by 20,834 shares, 25,000 shares, and 62,500 shares, respectively, which increases were previously approved by the Board. As of the Record Date, the maximum shares of our common stock that may be subject to awards under the 2022 Plan is equal to 162,889.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or more committees appointed by our Board will administer the 2022 Plan. Initially, the Compensation Committee shall administer the 2022 Plan. In addition, if we determine it is desirable to qualify transactions under the 2022 Plan as exempt under Rule 16b-3 of the Exchange Act, such transactions will be structured with the intent that they satisfy the requirements for exemption under Rule 16b-3. Subject to the provisions of the 2022 Plan, the administrator has the power to administer the 2022 Plan and make all determinations deemed necessary or advisable for administering the 2022 Plan, including the power to determine the fair market value of our common stock, select the service providers to whom awards may be granted, determine the number of shares covered by each award, approve forms of award agreements for use under the 2022 Plan, determine the terms and conditions of awards (including the exercise price, the time or times at which the awards may be exercised, any vesting acceleration or waiver or forfeiture restrictions and any restriction or limitation regarding any award or the shares relating thereto), construe and interpret the terms of the 2022 Plan and awards granted under it, prescribe, amend and rescind rules relating to the 2022 Plan, rules and regulations relating to sub-plans established for the purpose of facilitating compliance with applicable non-U.S. laws, easing the administration of the 2022 Plan and/or for qualifying for favorable tax treatment under applicable non-U.S. laws, in each case as the administrator may deem necessary or advisable and modify or amend each award (subject to the provisions of the 2022 Plan), including the discretionary authority to extend the post-termination exercisability period of awards and to extend the maximum term of an option or stock appreciation right (subject to the provisions of the 2022 Plan), to allow Participants to satisfy withholding tax obligations in a manner permissible under the 2022 Plan, to authorize any person to execute on behalf of us any instrument required to effect the grant of an award previously granted by the administrator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are final and binding on all participants.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Awards under the 2022 Plan, other than incentive stock options, may be granted to our employees (including our officers and directors) or a parent or subsidiary, members of our Board, or consultants engaged to render bona fide services to us or a parent or subsidiary. Incentive stock options may be granted only to our employees or a subsidiary, provided the services (i) are not in connection with the offer or sale of securities in a capital-raising transaction, and (ii) do not directly promote or maintain a market for our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 options may be granted under the 2022 Plan. The exercise price of options granted under the 2022 Plan generally must at least be equal to the fair market value of our common stock on the date of grant. The term of each option will be as stated in the applicable award agreement; provided, however, that the term may be no more than 10 years from the date of grant.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may not be exercised later than the expiration of its term. Subject to the provisions of the 2022 Plan, the administrator determines the other terms of options.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the 2022 Plan. Stock appreciation rights allow the recipient to receive the appreciation in the fair market value of our common stock between the exercise date and the date of grant. Stock appreciation rights may not have a term exceeding 10 years. After the termination of service of an employee, director or consultant, they may exercise their stock appreciation right for the period of time stated in their stock appreciation right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the 2022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may be granted under the 2022 Plan. Restricted stock awards are grants of shares of our common stock that vest in accordance with terms and conditions established by the administrator. The administrator will determine the number of shares of restricted stock granted to any employee, director or consultant and, subject to the provisions of the 2022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RSUs may be granted under the 2022 Plan. RSUs are bookkeeping entries representing an amount equal to the fair market value of one share of our common stock. Subject to the provisions of the 2022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of our common stock or in some combination thereof. Notwithstanding the foregoing, the administrator, in its sole discretion, may accelerate the time at which any vesting requirements will be deemed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under the 2022 Plan. Performance awards are awards that will result in a payment to a participant only if performance goals established by the administrator are achieved or the awards otherwise vest. The administrator will set objectives or vesting provisions, that, depending on the extent to which they are met, will determine the value of the payout for the performance awards. The administrator may set vesting criteria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 of a performance award, the administrator, in its sole discretion, may reduce or waive any performance objectives or other vesting provisions for such performance award. The administrator, in its sole discretion, may pay earned performance awards in the form of cash, in shares, or in some combination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2022 Plan generally does not allow for the transfer of awards other than by will or by the laws of descent and distribution and only the recipient of an award may exercise an award during their lifetime. If the administrator makes an award transferrable, such award will contain such additional terms and conditions as the administrator deems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to prevent diminution or enlargement of the benefits or potential benefits available under the 2022 Plan, the administrator will adjust the number and class of shares that may be delivered under the 2022 Plan or the number, and price of shares covered by each outstanding award and the numerical share limits set forth in the 2022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2022 Plan provides that in the event of our merger with or into another corporation or entity or a “change in control” (as defined in the 2022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In the event that awards (or portion thereof) are not assumed or substituted for in the event of a merger or change in control, the participant will fully vest in and have the right to exercise all of their outstanding options and stock appreciation rights, including shares as to which such awards would not otherwise be vested or exercisable, all restrictions on restricted stock and RSUs or performance awards will lapse and, with respect to awards with performance-based vesting, all performance goals or other vesting criteria will be deemed achieved at 100% of target levels and all other terms and conditions met, in all cases, unless specifically provided otherwise under the applicable award agreement or other written agreement between the participant and us or any of our subsidiaries or parents, as applicable.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vested option or stock appreciation right will terminate upon the expiration of such period.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awards granted to an outside director, the outside director will fully vest in and have the right to exercise options and/or stock appreciation rights as to all of the shares underlying such award, including those shares which would not be vested or exercisable, all restrictions on restricted stock and RSUs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us or any of our subsidiaries or parents, as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Awards will be subject to any clawback policy that we are required to adopt pursuant to the listing standards of any national securities exchange or association on which our securities are listed or as is otherwise required by the Dodd-Frank Act or other applicable laws. The administrator also may specify in an award agreement that the participant’s rights, payments or benefits with respect to an award will be subject to reduction, cancellation, forfeiture or recoupment upon the occurrence of certain specified events. The administrator may require a participant to forfeit, return or reimburse us all or a portion of the award or shares issued under the award, any amounts paid under the award and any payments or proceeds paid or provided upon disposition of the shares issued under the award in order to comply with such clawback policy or applicable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administrator has the authority to amend, suspend or terminate the 2022 Plan provided such action does not impair the existing rights of any participant. The 2022 Plan automatically will terminate on November 22, 2032, unless it is terminated sooner.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principal U.S. federal income tax consequences with respect to awards granted under the 2022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recipient of a restricted stock award does not have taxable income upon receipt of the award. When the restricted stock award is vested, the recipient will recognize ordinary income in an amount equal to the difference of the fair market value of the shares on the date of vesting and the amount paid for such restricted stock, if 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vesting of a restricted stock award, the Company will be entitled to a corresponding income tax deduction in the tax year in which the restricted stock award vested.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recipient may, however, elect under Section 83(b) of the Code to include as ordinary income in the year the shares are granted an amount equal to the excess of (i) the fair market value of the shares on the date of issuance, over (ii) the purchase price, if any, paid for the shares. If the Section 83(b) election is made, the recipient will not realize any additional taxable income when the shares become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recipient will not recognize taxable income upon the grant of a restricted stock unit, and we will not be entitled to a deduction, until the shares and/or cash with respect to the award are transferred to the recipient, generally at the end of the vesting period. At the time of transfer, the recipient will recognize ordinary income equal to the value of the shares of common stock and/or cash. The Company will be entitled to a deduction equal to the income recognized by the recipient. The subsequent disposition of shares acquired pursuant to a restricted stock unit award will result in capital gain or loss (based upon the difference between the price received upon disposition and the recipient’s basis in those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recipient does not recognize any taxable income as a result of a grant of a non-qualified stock option. Upon exercise of a non-qualified stock option, the recipient will recognize ordinary income in an amount equal to the difference between the fair market value of the shares on the date of exercise and the exercise price. When the shares are sold, any difference between the sale price and the fair market value of the shares on the date of exercise will generally be treated as long term or short term capital gain or loss, depending on whether the stock was held for more than one year. Upon the exercise of a non-qualified stock option, the Company will be entitled to a corresponding income tax deduction in the tax year in which the option was exercised.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Upon exercise of an incentive stock option, the excess of the fair market value of the shares of common stock acquired over the option exercise price will be an item of tax preference to the participant, which may be subject to an alternative minimum tax for the year of exercise. If no disposition of the shares is made within two years from the date of granting of the incentive stock option or within one year after the transfer of the shares to the participant, the participant does not realize taxable income as a result of exercising the incentive stock option; the tax basis of the shares received for capital gain treatment is the option exercise price; any gain or loss realized on the sale of the shares is long-term capital gain or loss. If the recipient disposes of the shares within the two-year or one-year periods referred to above, the recipient will realize ordinary income at that time in an amount equal to the excess of the fair market value of the shares at the time of exercise (or the net proceeds of disposition, if less) over the option exercise price. For capital gain treatment on such a disposition, the tax basis of the shares will be their fair market value at the time of exercise.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recipient does not recognize any taxable income upon the receipt of a stock appreciation right (“SAR”). Upon the exercise of a SAR, the recipient will recognize ordinary income in an amount equal to the excess of the fair market value of the underlying shares of common stock on the exercise date over the exercise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exercise of a SAR, the Company will be entitled to a corresponding income tax deduction in the tax year in which the SAR was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reflects the number of securities granted under equity compensation plans approved and not approved by stockholders and the weighted average exercise price for such plans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 issued upon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or</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issuance of</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 units,</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20"/>
        </w:trPr>
        <w:tc>
          <w:tcPr>
            <w:tcW w:w="73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82"/>
        </w:trPr>
        <w:tc>
          <w:tcPr>
            <w:tcW w:w="7320" w:type="dxa"/>
            <w:vAlign w:val="bottom"/>
          </w:tcPr>
          <w:p>
            <w:pPr>
              <w:spacing w:after="0"/>
              <w:rPr>
                <w:sz w:val="24"/>
                <w:szCs w:val="24"/>
                <w:color w:val="auto"/>
              </w:rPr>
            </w:pPr>
          </w:p>
        </w:tc>
        <w:tc>
          <w:tcPr>
            <w:tcW w:w="138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rights</w:t>
            </w:r>
            <w:r>
              <w:rPr>
                <w:rFonts w:ascii="Times New Roman" w:cs="Times New Roman" w:eastAsia="Times New Roman" w:hAnsi="Times New Roman"/>
                <w:sz w:val="29"/>
                <w:szCs w:val="29"/>
                <w:b w:val="1"/>
                <w:bCs w:val="1"/>
                <w:color w:val="auto"/>
                <w:w w:val="95"/>
                <w:vertAlign w:val="superscript"/>
              </w:rPr>
              <w:t>(1)</w:t>
            </w: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line="276" w:lineRule="exact"/>
              <w:rPr>
                <w:sz w:val="20"/>
                <w:szCs w:val="20"/>
                <w:color w:val="auto"/>
              </w:rPr>
            </w:pPr>
            <w:r>
              <w:rPr>
                <w:rFonts w:ascii="Times New Roman" w:cs="Times New Roman" w:eastAsia="Times New Roman" w:hAnsi="Times New Roman"/>
                <w:sz w:val="18"/>
                <w:szCs w:val="18"/>
                <w:b w:val="1"/>
                <w:bCs w:val="1"/>
                <w:color w:val="auto"/>
                <w:w w:val="92"/>
              </w:rPr>
              <w:t>rights</w:t>
            </w:r>
            <w:r>
              <w:rPr>
                <w:rFonts w:ascii="Times New Roman" w:cs="Times New Roman" w:eastAsia="Times New Roman" w:hAnsi="Times New Roman"/>
                <w:sz w:val="29"/>
                <w:szCs w:val="29"/>
                <w:b w:val="1"/>
                <w:bCs w:val="1"/>
                <w:color w:val="auto"/>
                <w:w w:val="92"/>
                <w:vertAlign w:val="superscript"/>
              </w:rPr>
              <w:t>(1)</w:t>
            </w:r>
            <w:r>
              <w:rPr>
                <w:rFonts w:ascii="Times New Roman" w:cs="Times New Roman" w:eastAsia="Times New Roman" w:hAnsi="Times New Roman"/>
                <w:sz w:val="18"/>
                <w:szCs w:val="18"/>
                <w:b w:val="1"/>
                <w:bCs w:val="1"/>
                <w:color w:val="auto"/>
                <w:w w:val="92"/>
              </w:rPr>
              <w:t xml:space="preserve"> :</w:t>
            </w:r>
          </w:p>
        </w:tc>
        <w:tc>
          <w:tcPr>
            <w:tcW w:w="1220" w:type="dxa"/>
            <w:vAlign w:val="bottom"/>
            <w:gridSpan w:val="2"/>
          </w:tcPr>
          <w:p>
            <w:pPr>
              <w:jc w:val="center"/>
              <w:ind w:right="100"/>
              <w:spacing w:after="0" w:line="276" w:lineRule="exact"/>
              <w:rPr>
                <w:sz w:val="20"/>
                <w:szCs w:val="20"/>
                <w:color w:val="auto"/>
              </w:rPr>
            </w:pPr>
            <w:r>
              <w:rPr>
                <w:rFonts w:ascii="Times New Roman" w:cs="Times New Roman" w:eastAsia="Times New Roman" w:hAnsi="Times New Roman"/>
                <w:sz w:val="18"/>
                <w:szCs w:val="18"/>
                <w:b w:val="1"/>
                <w:bCs w:val="1"/>
                <w:color w:val="auto"/>
                <w:w w:val="95"/>
              </w:rPr>
              <w:t>issuance</w:t>
            </w:r>
            <w:r>
              <w:rPr>
                <w:rFonts w:ascii="Times New Roman" w:cs="Times New Roman" w:eastAsia="Times New Roman" w:hAnsi="Times New Roman"/>
                <w:sz w:val="29"/>
                <w:szCs w:val="29"/>
                <w:b w:val="1"/>
                <w:bCs w:val="1"/>
                <w:color w:val="auto"/>
                <w:w w:val="95"/>
                <w:vertAlign w:val="superscript"/>
              </w:rPr>
              <w:t>(2)</w:t>
            </w:r>
            <w:r>
              <w:rPr>
                <w:rFonts w:ascii="Times New Roman" w:cs="Times New Roman" w:eastAsia="Times New Roman" w:hAnsi="Times New Roman"/>
                <w:sz w:val="18"/>
                <w:szCs w:val="18"/>
                <w:b w:val="1"/>
                <w:bCs w:val="1"/>
                <w:color w:val="auto"/>
                <w:w w:val="95"/>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68,760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68,760</w:t>
            </w:r>
          </w:p>
        </w:tc>
      </w:tr>
    </w:tbl>
    <w:p>
      <w:pPr>
        <w:spacing w:after="0" w:line="198"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Balances presented as of December 31, 2025.</w:t>
      </w:r>
    </w:p>
    <w:p>
      <w:pPr>
        <w:spacing w:after="0" w:line="225"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Balances presented as of December 31, 2025, and therefore exclude the automatic increase of 46,524 shares to the number of shares available for issuance under the 2022 Plan, which became effective on January 1, 2026. The total number of shares of common stock that remain available for future issuance under the 2022 Plan as of the Record Date is 115,284.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approval to increase the total number of authorized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2022 Equity Incentive Plan by 800,000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TO APPROVE AN AMENDMENT TO OUR CERTIFICATE OF INCORPORATION TO EFFECT A REVERSE STOCK SPLIT OF OUR COMMON STOCK AT A REVERSE STOCK SPLIT RATIO RANGING FROM 1:5 TO 1:10, INCLUSIVE, AS DETERMINED BY THE BOARD IN ITS SOLE DISCRETION (Item 3 on the Proxy Card)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stockholders are being asked to approve an amendment to our Certificate of Incorporation to effect a reverse stock split of our common stock at a reverse stock split ratio ranging from 1:5 to 1:10, inclusive, as may be determined at the appropriate time by the Board, in its sole discretion (the “Reverse Stock Split”). This means that once approved by the stockholders, the Board will be able to decide whether and when to effect the Reverse Stock Split without further action from the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this amendment or the abandonment thereof, notwithstanding stockholder approval, will be determined by the Board, at its sole option, following the Annual Meeting any time prior to the one-year anniversary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a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Maintaining our Listing on Nasdaq</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purpose of the Reverse Stock Split is to raise the per share trading price of our common stock in order to maintain our listing on The Nasdaq Capital Market. Delisting from Nasdaq may adversely affect our ability to raise additional financing through the public or private sale of our equity securities, may significantly affect the ability of investors to trade in our securities and may negatively affect the value and liquidity of our common stock. Delisting may also have other negative impacts, including potential loss of employee confidence, the loss of institutional investors, the loss of analyst coverage or the loss of business development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Potentially Improving the Marketability and Liquidity of 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believes that an increased stock price may also improve the marketability and liquidity of our common stock. For example, many brokerages, institutional investors and funds have internal policies that either prohibit them from investing in low-priced stocks or tend to discourage individual brokers from recommending low-priced stocks to their customers by restricting or limiting the ability to purchase such stocks on margin. Additionally, investors may be dissuaded from purchasing stocks below certain prices because brokers’ commissions, as a percentage of the total transaction value, can be higher for low-priced stocks.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Decreasing the Risk of Market Manipulation of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the potential increase in stock price may reduce the risk of market manipulation of our common stock, which we believe is enhanced when our stock trades below $1.00 per share. By reducing market manipulation risk, we may also thereby potentially decrease the volatility of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Providing us the Ability to Issue Additional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Reverse Stock Split is expected to increase the number of authorized, but unissued and unreserved, shares of our common stock. These additional shares would provide flexibility to us for raising capital; repurchasing debt; providing equity incentives to employees, officers, directors, consultants and advisors (including pursuant to our equity compensation plan); expanding our business through the acquisition of other businesses and for other purposes. However, at present, we do not have any specific plans, arrangements, understandings or commitments for the additional shares that would become available.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Accordingly, for these and other reasons, the Board believes that a Reverse Stock Split is in the best interests of us and our stockholders. A copy of the draft of the amendment to our Certificate of Incorporation providing for the Reverse Stock Split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a 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proposal gives the Board the discretion to select a Reverse Stock Split ratio from within a range between and including 1:5 and 1:10 on a date selected by him based on his then-current assessment of the factors below, and in order to maximize Company and stockholder interests. In determining whether to implement the Reverse Stock Split, and which ratio to implement, if any, the Board may consider, among other factors:</w:t>
      </w:r>
    </w:p>
    <w:p>
      <w:pPr>
        <w:spacing w:after="0" w:line="17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184" w:lineRule="auto"/>
        <w:tabs>
          <w:tab w:leader="none" w:pos="660" w:val="left"/>
        </w:tabs>
        <w:numPr>
          <w:ilvl w:val="0"/>
          <w:numId w:val="4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then-prevailing trading price and trading volume of our common stock and the expected impact of the Reverse Stock Split on the trading market in the short- and long-term;</w:t>
      </w:r>
    </w:p>
    <w:p>
      <w:pPr>
        <w:spacing w:after="0" w:line="198" w:lineRule="exact"/>
        <w:rPr>
          <w:rFonts w:ascii="Times New Roman" w:cs="Times New Roman" w:eastAsia="Times New Roman" w:hAnsi="Times New Roman"/>
          <w:sz w:val="34"/>
          <w:szCs w:val="34"/>
          <w:color w:val="auto"/>
          <w:vertAlign w:val="subscript"/>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for our common stock on Nasdaq or other applicable exchanges, if then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industry, market and economic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a 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a Reverse Stock Split on our stock price cannot be predicted with any certainty, and the history of reverse stock splits for other companies in various industries is varied, particularly since some investors may view a reverse stock split negatively. It is possible that our stock price after a Reverse Stock Split will not increase in the same proportion as the reduction in the number of shares outstanding, causing a reduction in our overall market capitalization. Further, even if we implement a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a Reverse Stock Split. If we fail to meet Nasdaq’s continued listing requirements, Nasdaq could suspend trading in our common stock and commence delisting proceedings.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us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Effects of a Reverse Stock Split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effective date of the Reverse Stock Split:</w:t>
      </w:r>
    </w:p>
    <w:p>
      <w:pPr>
        <w:spacing w:after="0" w:line="225"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number shares of common stock outstanding (depending on the Reverse Stock Split ratio selected by the Board) will be combined, automatically and without any action on the part of the Company or its stockholders, into one new share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instead, stockholders who would otherwise receive a fractional share will receive a whole share in lieu of any fractional share of common stock (as detailed below);</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proportionate adjustments will be made to the number of shares issuable upon the exercise or vesting of all then-outstanding stock options and warrants which will result in a proportional decrease in the number of shares of common stock reserved for issuance upon exercise or vesting of such stock options and warrants and, in the case of stock options, a proportional increase in the exercise price of all such stock options;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then reserved for issuance under our equity compensation plan will be reduced proportionately;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authorized shares of common stock will remain at 150,000,000.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illustrative purposes only, the anticipated effects of a Reverse Stock Split on our shares available for issuance based on information as of the Record Date (unless otherwise noted below) and without giving effect to the treatment of fractional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this Proposal Is Approved by Stockholders and Implemented by the Board: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Reserved for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but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Issued and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Future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Unissued and</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Issuance(1)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Unreserved</w:t>
            </w:r>
          </w:p>
        </w:tc>
      </w:tr>
      <w:tr>
        <w:trPr>
          <w:trHeight w:val="216"/>
        </w:trPr>
        <w:tc>
          <w:tcPr>
            <w:tcW w:w="5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Pre-Reverse Stock Split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150,000,000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2,659,288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2,034,152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145,306,560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150,000,000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531,858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406,831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149,061,311</w:t>
            </w:r>
          </w:p>
        </w:tc>
      </w:tr>
      <w:tr>
        <w:trPr>
          <w:trHeight w:val="216"/>
        </w:trPr>
        <w:tc>
          <w:tcPr>
            <w:tcW w:w="5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150,000,000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265,929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149,530,655</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reserved for issuance (i) upon the exercise of currently exercisable warrants and options and (ii) under the 2022 Plan less any exercised or converted awards. Excludes the proposed amendment, as described in Proposal 2 of this proxy statement, to increase the number of shares authorized for issuance under the 2022 Plan by 800,000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Reverse Stock Split would affect all stockholders uniformly. As of the effective date of the Reverse Stock Split which shall be determined by the Board in its sole discretion (“Effective Date”), each stockholder would own a reduced number of shares of common stock. Percentage ownership interests, voting rights and other rights and preferences would not be affected, except to the extent that the Reverse Stock Split would result in fractional shares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Reverse Stock Split would not affect the registration of our common stock under Section 12(b) of the Exchange Act and we would continue to be subject to the periodic reporting and other requirements of the Exchange Act. Barring delisting by Nasdaq, our common stock would continue to be listed on Nasdaq under the symbol “SXTP,” but would have a new Committee on Uniform Securities Identification Procedures number after the effective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the Reverse Stock Split. In lieu of any fractional shares to which a stockholder of record would otherwise be entitled, we will issue a whole share in lieu of any fractional share of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As of July 2, 2026, there were 22 common stockholders of record. We do not intend for this transaction to be the first step in a series of plans or proposals of a “going private transaction” within the meaning of Rule 13e-3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Effecting a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Holders of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Stockholders who hold their shares through a bank, broker or other nominee will be treated in the same manner as registered stockholders who hold their shares in their names. Banks, brokers and other nominees will be instructed to effect the Reverse Stock Split for beneficial owners of such shares. However, banks, brokers or other nominees may implement different procedures than those to be followed by registered stockholders for processing the Reverse Stock Split, particularly with respect to the treatment of fractional shares. Stockholders whose shares of common stock are held in the name of a bank, broker or other nominee are encouraged to contact their bank, broker or other nominee with any questions regarding the procedures for implementing the Reverse Stock Split with respect to their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Holders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Registered stockholders hold shares electronically in book-entry form under the direct registration system (i.e., do not have stock certificates evidencing their share ownership but instead have a statement reflecting the number of shares registered in their accounts) and, as a result, do not need to take any action to receive post-split shares. If they are entitled to receive post-split shares, they will automatically receive, at their address of record, a transaction statement indicating the number of post-split shares held following the Effective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consequences of a Reverse Stock Split to stockholders. This summary is based on the provisions of the Internal Revenue Code of 1986, as amended (the “Code”), U.S. Treasury regulations, administrative rulings and judicial decisions, all as in effect on the date of this filing, and all of which are subject to change or differing interpretations, possibly with retroactive effect. Any such change or differing interpretation could affect the tax consequences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an opinion of counsel or ruling from the Internal Revenue Service (the “IRS”) with respect to the statements made and the conclusions reached in the following summary, and there can be no assurance that the IRS or a court will agree with such statements and conclusions.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summary is limited to stockholders that are U.S. holders, as defined below, and that hold our common stock as a capital asset (generally, property held for investment).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summary is for general information only and does not address all U.S. federal income tax considerations that may be applicable to a holder’s particular circumstances or to holders that may be subject 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U.S., insurance companies, persons holding shares of our common stock as part of a hedging, integrated or conversion transaction or a straddle or persons deemed to sell shares of our common stock under the constructive sale provisions of the Code, persons that hold more than 5% of our common stock, persons that hold our common stock in an individual retirement account, 401(k) plan or similar tax-favored account or partnerships or other pass-through entities for U.S. federal income tax purposes and investors in such entities.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does not address any U.S. federal tax consequences other than U.S. federal income tax consequences (such as estate or gift tax consequences), the Medicare tax on net investment income, the alternative minimum tax or any U.S. state, local or foreign tax consequences. This summary also does not address any U.S. federal income tax considerations relating to any other transaction other than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summary, a “U.S. holder” means a beneficial owner of our common stock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U.S., any state thereof or the District of Columbia;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it is subject to the primary supervision of a court within the U.S. and one or more U.S. persons have the authority to control all substantial decisions of the trust or (2) it has a valid election in effect under applicable U.S. Treasury regulations to be treated as a U.S.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shares of our common stock, the tax treatment of a partner in the partnership will generally depend upon the status of the partner and the activities of the partnership. If a holder of our common stock is a partner of a partnership holding shares of our common stock, such holder should consult his or her own tax advisor.</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summary of certain U.S. federal income tax consequences is for general information only and is not tax advice. Stockholders are urged to consult their own tax advisor with respect to the application of U.S. federal income tax laws to their particular situation as well as any tax considerations arising under other U.S. federal tax laws (such as the estate or gift tax laws) or under the laws of any state, local, foreign or other taxing jurisdiction or under any applicable tax treaty.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Reverse Stock Split is intended to be treated as a recapitalization for U.S. federal income tax purposes.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the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the common stock surrendered in the Reverse Stock Split in exchange therefor.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a U.S. holder who receives a cash payment in lieu of a fractional share will recognize capital gain or loss equal to the difference between the amount of cash received in lieu of the fractional share and the portion of the U.S. holder’s tax basis of the common stock surrendered in the Reverse Stock Split that is allocable to the fractional share. Such gain or loss generally will be long-term capital gain or loss if the U.S. holder’s holding period in its common stock surrendered in the Reverse Stock Split is more than one year as of the date of the Reverse Stock Split. The deductibility of net capital losses by individuals and corporations is subject to limitations. Depending on a stockholder’s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that have acquired different blocks of our common stock at different times or at different prices are urged to consult their own tax advisors regarding the allocation of their aggregated adjusted basis among, and the holding period of, our common stock.</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returns generally will be required to be filed with the IRS with respect to the payment of cash in lieu of a fractional share made pursuant to the Reverse Stock Split unless such U.S. holder is an exempt recipient and timely and properly establishes with the applicable withholding agent the exemption. In addition, payments of cash in lieu of a fractional share made pursuant to the Reverse Stock Split may, under certain circumstances, be subject to backup withholding, unless a U.S. holder timely provides to the applicable withholding agent proof of an applicable exemption or a correct taxpayer identification number, and otherwise complies with the applicable requirements of the backup withholding rules. Any amounts withheld under the backup withholding rules are not additional tax and may be refunded or credited against the U.S. holder’s U.S. federal income tax liability, provided that the U.S. holder timely furnishes the required information to the IRS. U.S. holders should consult their tax advisors regarding their qualification for an exemption from backup withholding and the procedures for obtaining such an exemption.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Consequences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 value per share of our common stock will remain unchanged at $0.0001 per share following a Reverse Stock Split. As a result, as of the Effective Date, the stated capital on the our balance sheets attributable to common stock will be reduced proportionally based on the Reverse Stock Split ratio, and the additional paid-in capital will be credited with the amount by which the capital is reduced. The net income or loss per share of common stock will be increased as a result of the fewer shares of common stock outstanding. The Reverse Stock Split will be reflected retroactively in our consolidated financial statements.</w:t>
      </w:r>
    </w:p>
    <w:p>
      <w:pPr>
        <w:spacing w:after="0" w:line="179" w:lineRule="exact"/>
        <w:rPr>
          <w:sz w:val="20"/>
          <w:szCs w:val="20"/>
          <w:color w:val="auto"/>
        </w:rPr>
      </w:pPr>
    </w:p>
    <w:p>
      <w:pPr>
        <w:jc w:val="center"/>
        <w:ind w:left="340"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Reverse Stock Split. The Board of Directors retains the discretion to abandon, and not implement, the aforementioned amendments at any time before they become effective.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RATIFICATION OF THE SELECTION OF RBSM LLP AS OUR INDEPENDENT AUDITOR FOR THE FISCAL YEAR ENDING DECEMBER 31, 2026</w:t>
      </w:r>
    </w:p>
    <w:p>
      <w:pPr>
        <w:spacing w:after="0" w:line="15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The Board of Directors is asking that you vote to ratify the Board’s selection of RBSM LLP (“RBSM”) as our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for fiscal year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we engaged RBSM LLP as our independent registered public accounting firm.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we incurred fees, as discussed below:</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279,576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223,069</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relating to the audit of the Company’s annual consolidated financial statements and reviews of interim condensed consolidated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consisted of reviews of the Company’s registration statements, consents, and the completion of comfort letter procedures associated with the Company’s securities offerings.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to pre-approve all audit and permissible non-audit services performed by the independent accountants. These services may include audit services, audit-related services, tax services and other services. Under our Audit Committee’s policy, pre-approval is generally provided for particular services or categories of services, including planned services, project-based services and routine consultations. In addition, the Audit Committee may also pre-approve particular services on a case-by-case basis. Our Audit Committee approved all services that our independent public accountants provided to us in the past two fiscal years.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Representatives of RBSM will attend the Annual Meeting and will have the opportunity to make a statement if they desire and will be available to respond to appropriate questions from stockholders.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ratification of the Board’s appointment of RBSM as our independent registered public accounting firm for the fiscal year ending December 31, 2026 requires the affirmative vote of a majority of votes cast on the proposal. Abstentions will have no effect on the outcome of the vote on this proposal. Because this is a routine matter, there will be no broker non-votes. If our stockholders do not ratify the appointment, the selection of another independent registered public accounting firm may be considered by the Board. Even if the selection is ratified, the Board in its discretion may select a different independent registered public accounting firm at any time during the year if it determines that such a change would be in the best interests of the Company and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approval of this proposal.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APPROVAL OF MANAGEMENT SUCCESS FEE IN CONNECTION WITH A CHANGE OF CONTROL OR STRATEGIC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is asking shareholders to approve a management success fee (the “Management Success Fee”) payable to members of the Company’s management team in the event of a change of control, strategic transaction, or sale of Arakoda (each, a “Qualifying Transaction”). The Management Success Fee is designed to incentivize and reward members of the management team for their efforts in maximizing shareholder value in connection with any such Qualifying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Management Success Fee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Management Success Fee Proposal, if a Qualifying Transaction is consummated, members of the Company’s management team would be entitled to receive a success fee calculated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Qualifying Transaction with aggregate deal proceeds (the “Deal Value”) between Forty Million Dollars ($40,000,000) and One Hundred Million Dollars ($100,000,000), the Management Success Fee shall be equal to five percent (5%) of the Deal Value. For a Qualifying Transaction with a Deal Value in excess of One Hundred Million Dollars ($100,000,000), the Management Success Fee shall be equal to six percent (6%) of the Deal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Success Fee may be paid in cash, equity, or a combination thereof, to individual members of the management team in such amounts and proportions as determined by the Board in its sole discretion. The Board retains full authority to determine the allocation of the Management Success Fee among eligible members of management, taking into account each individual’s role, contributions, and responsibilities in connection with the Qualifying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the Proposal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believes that the Management Success Fee is in the best interests of shareholders because it aligns the interests of management with those of shareholders by providing a direct financial incentive to pursue and consummate value-maximizing transactions. The tiered structure of the fee — with a higher percentage applicable to transactions at or below $100 million in Deal Value and a lower percentage for transactions exceeding that threshold — reflects the Board’s judgment regarding the appropriate level of incentive compensation relative to the magnitude of the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Approval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notes that, as a general matter, cash bonus arrangements for management do not require shareholder approval under applicable corporate law or stock exchange listing standards. The Board has nevertheless determined to submit the Management Success Fee Proposal for shareholder approval on a voluntary basis in order to provide shareholders with an opportunity to express their views on this arrangement and to promote transparency regarding the Company’s compensation practices in connection with any potential Qualifying Transaction. Accordingly, even if this Proposal 5 does not receive the requisite shareholder approval, the Board retains the authority to implement a cash-based success fee arrangement for management in connection with a Qualifying Transaction without further shareholder action, to the extent permitted by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 of this Proposal 5 requires the affirmative vote of a majority of the shares of common stock present in person or represented by proxy at the Annual Meeting and entitled to vote thereon. Abstentions will have the same effect as votes against this proposal. Broker non-votes will have no effect on the outcome of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MANAGEMENT SUCCESS FEE PROPOSAL.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ADJOURNMENT OF THE ANNUAL MEETING, IF NECESSARY, TO SOLICIT ADDITIONAL PROXIES IN THE EVENT THERE ARE NOT SUFFICIENT VOTES IN FAVOR OF THE DIRECTOR ELECTION PROPOSAL, THE 2022 PLAN AMENDMENT PROPOSA AND THE CERTIFICATE OF INCORPORATION AMENDMENT PROPOSAL,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6 is to consider and vote upon the proposal to approve adjourning the Annual Meeting, if necessary or appropriate in the discretion of the Board, to solicit additional proxies in the event that there are not sufficient votes at the time of the Annual Meeting to approve the Director Election Proposal, 2022 Plan Amendment Proposal and the Certificate of Incorporation Amendment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may be adjourned to another time or place, if necessary or appropriate in the discretion of the Board, to permit further solicitation of proxies to obtain additional votes in favor of the Director Election Proposal, 2022 Plan Amendment Proposal and the Certificate of Incorporation Amendment Proposal (the “Adjournment”).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the Annual Meeting, the number of shares of common stock present or represented and voting in favor of the Director Election Proposal, the 2022 Plan Amendment Proposal and the Certificate of Incorporation Amendment Proposal is insufficient to approve either such proposal, the Company intends to move for the Adjournment in order to enable our Board to solicit additional proxies for approval of such proposal. We are asking our stockholders to approve this Proposal 6 for the Adjournment if necessary or appropriate in the discretion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is required for approval of the Adjournment. For the purpose of the vote on this proposal, abstentions, broker non-votes and other shares not voted will not be counted as votes cast and will have no effect on the result of the vote, although they will be considered present for the purpose of determining the presence of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RECCOMENDS THAT YOU VOTE “FOR” APPROVAL OF THIS PROPOSAL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Solicitation Expenses: </w:t>
      </w:r>
      <w:r>
        <w:rPr>
          <w:rFonts w:ascii="Times New Roman" w:cs="Times New Roman" w:eastAsia="Times New Roman" w:hAnsi="Times New Roman"/>
          <w:sz w:val="18"/>
          <w:szCs w:val="18"/>
          <w:color w:val="auto"/>
        </w:rPr>
        <w:t>Expenses in connection with the solicitation of proxies will be paid by the Company. Proxies are being solicited principally by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by telephone. In addition, our directors, officers and regular employees, without additional compensation, may solicit proxies personally, by e-mail, telephone, fax or special letter. We will reimburse brokerage firms and others for their expenses in forwarding proxy materials to the beneficial owners of our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How To Receive Additional Paper Copies of the Proxy Statement</w:t>
      </w:r>
      <w:r>
        <w:rPr>
          <w:rFonts w:ascii="Times New Roman" w:cs="Times New Roman" w:eastAsia="Times New Roman" w:hAnsi="Times New Roman"/>
          <w:sz w:val="18"/>
          <w:szCs w:val="18"/>
          <w:color w:val="auto"/>
        </w:rPr>
        <w:t>: The Company has adopted a procedure called “householding” which has been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SEC. The Company and some brokers household proxy materials, delivering a single notice and, if applicable, this Proxy Statement and Annual Report, to multiple stockholders sharing an address unless contrary instructions have been received from the affected stockholders or they participate in electronic delivery of proxy materials. Stockholders who participate in householding will continue to access and receive separate proxy cards. This process will help reduce our printing and postage fees, as well as save natural resources.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60 Degrees Pharmaceuticals, Inc., Investor Relations, 1025 Connecticut Avenue NW Suite 1000, Washington, D.C. 20036 or by calling Investor Relations at (202) 327-5422.</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Stockholder Proposals for Consideration at the 2027 Annual Meeting of Stockholders</w:t>
      </w:r>
      <w:r>
        <w:rPr>
          <w:rFonts w:ascii="Times New Roman" w:cs="Times New Roman" w:eastAsia="Times New Roman" w:hAnsi="Times New Roman"/>
          <w:sz w:val="18"/>
          <w:szCs w:val="18"/>
          <w:color w:val="auto"/>
        </w:rPr>
        <w:t>: Under the rules of the SEC, if a stockholder wants us to include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in our Proxy Statement and proxy card for presentation at our 2027 Annual Meeting of Stockholders, the proposal must be received by us at our principal executive offices at 1025 Connecticut Avenue NW Suite 1000, Washington, D.C. 20036 on or around [____], 2027. The proposal should be sent to the attention of the Chief Financial Officer.</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amended and restated bylaws, certain procedures are provided that a stockholder must follow to introduce an item of business, including the nomination of someone as a director, at an Annual Meeting of Stockholders that is not included in our Proxy Statement. These procedures provide that an item of business to be introduced at an Annual Meeting of Stockholders must be submitted in writing to our Nominating and Corporate Governance Committee at our principal executive offices and you must include information set forth in our amended and restated bylaws. See “</w:t>
      </w:r>
      <w:r>
        <w:rPr>
          <w:rFonts w:ascii="Times New Roman" w:cs="Times New Roman" w:eastAsia="Times New Roman" w:hAnsi="Times New Roman"/>
          <w:sz w:val="18"/>
          <w:szCs w:val="18"/>
          <w:i w:val="1"/>
          <w:iCs w:val="1"/>
          <w:color w:val="auto"/>
        </w:rPr>
        <w:t>Governance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 Stockholder Nominations</w:t>
      </w:r>
      <w:r>
        <w:rPr>
          <w:rFonts w:ascii="Times New Roman" w:cs="Times New Roman" w:eastAsia="Times New Roman" w:hAnsi="Times New Roman"/>
          <w:sz w:val="18"/>
          <w:szCs w:val="18"/>
          <w:color w:val="auto"/>
        </w:rPr>
        <w:t>”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spacing w:after="0" w:line="237" w:lineRule="auto"/>
        <w:rPr>
          <w:sz w:val="20"/>
          <w:szCs w:val="20"/>
          <w:color w:val="auto"/>
        </w:rPr>
      </w:pPr>
      <w:r>
        <w:rPr>
          <w:rFonts w:ascii="Times New Roman" w:cs="Times New Roman" w:eastAsia="Times New Roman" w:hAnsi="Times New Roman"/>
          <w:sz w:val="18"/>
          <w:szCs w:val="18"/>
          <w:color w:val="auto"/>
        </w:rPr>
        <w:t>We must receive the notice of your intention to propose an item of business at our 2027 Annual Meeting no later than the close of business on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first anniversary of the preceding year’s annual meeting as specified in our amended and restated bylaws. If the 2027 Annual Meeting is not held within 30 days before or after the anniversary of the date of this year’s Annual Meeting, then the item of business must be received by the tenth day following the earlier of the date of mailing of the notice of the meeting or the public disclosure of the date of the meeting. Assuming that our 2027 Annual Meeting is held within 30 days of the anniversary of this Annual Meeting, we must receive notice of your intention to introduce a nomination or other item of business at that meeting on or around [____], 2027.</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contact 60 Degrees Pharmaceuticals’ Chief Financial Officer at the address mentioned above for a copy of the relevant bylaw provisions regarding the requirements for making stockholder proposals and nominating director candidates.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chairperson of the Annual Meeting may refuse to allow the transaction of any business, or to acknowledge the nomination of any person, not made in compliance with the foregoing procedures.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2025 Annual Report</w:t>
      </w:r>
      <w:r>
        <w:rPr>
          <w:rFonts w:ascii="Times New Roman" w:cs="Times New Roman" w:eastAsia="Times New Roman" w:hAnsi="Times New Roman"/>
          <w:sz w:val="18"/>
          <w:szCs w:val="18"/>
          <w:color w:val="auto"/>
        </w:rPr>
        <w:t>: A copy of our 2025 Annual Report, as filed with the SEC on March 30, 2026, is available to stockholders without charge upon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request directed to our Secretary at 1025 Connecticut Avenue NW Suite 1000, Washington, D.C. 20036 or by phone at (202) 327-5422. The Company makes available free of charge on or through its website, </w:t>
      </w:r>
      <w:r>
        <w:rPr>
          <w:rFonts w:ascii="Times New Roman" w:cs="Times New Roman" w:eastAsia="Times New Roman" w:hAnsi="Times New Roman"/>
          <w:sz w:val="18"/>
          <w:szCs w:val="18"/>
          <w:i w:val="1"/>
          <w:iCs w:val="1"/>
          <w:color w:val="auto"/>
        </w:rPr>
        <w:t>https://60degreespharma.com</w:t>
      </w:r>
      <w:r>
        <w:rPr>
          <w:rFonts w:ascii="Times New Roman" w:cs="Times New Roman" w:eastAsia="Times New Roman" w:hAnsi="Times New Roman"/>
          <w:sz w:val="18"/>
          <w:szCs w:val="18"/>
          <w:color w:val="auto"/>
        </w:rPr>
        <w:t>, its Annual Reports on Form 10-K, Quarterly Reports on Form 10-Q, Current Reports on Form 8-K and all amendments to such reports filed pursuant to Section 13(a) or 15(d) of the Exchange Act as soon as reasonably practicable after filing.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Matters To Be Considered At The Annual Meeting</w:t>
      </w:r>
      <w:r>
        <w:rPr>
          <w:rFonts w:ascii="Times New Roman" w:cs="Times New Roman" w:eastAsia="Times New Roman" w:hAnsi="Times New Roman"/>
          <w:sz w:val="18"/>
          <w:szCs w:val="18"/>
          <w:color w:val="auto"/>
        </w:rPr>
        <w:t>: The Board is not aware of any other matters that are expected to come before the 2026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other than those referred to in this proxy statement and as set forth above. The Board has made no recommendation as to how the proxies will vote on such other matters. If any other matter should come before the Annual Meeting, the individuals named on the proxy card intend to vote the proxies in accordance with their best judgment.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Dow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60 DEGREES PHARMACEUTICALS, INC. 2022 EQUITY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approval of the stockholders (the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of 60 Degrees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the Company’s 2026 Annual Meeting of Stockholders, the 60 Degrees Pharmaceuticals, Inc. 2022 Equity Incentive Plan (the “</w:t>
      </w:r>
      <w:r>
        <w:rPr>
          <w:rFonts w:ascii="Times New Roman" w:cs="Times New Roman" w:eastAsia="Times New Roman" w:hAnsi="Times New Roman"/>
          <w:sz w:val="18"/>
          <w:szCs w:val="18"/>
          <w:u w:val="single" w:color="auto"/>
          <w:color w:val="auto"/>
        </w:rPr>
        <w:t>2022 Plan</w:t>
      </w:r>
      <w:r>
        <w:rPr>
          <w:rFonts w:ascii="Times New Roman" w:cs="Times New Roman" w:eastAsia="Times New Roman" w:hAnsi="Times New Roman"/>
          <w:sz w:val="18"/>
          <w:szCs w:val="18"/>
          <w:color w:val="auto"/>
        </w:rPr>
        <w:t>”) is hereby amended by amending and restating Section 3.1 in its entirety as of the effective date of the Stockholder Approval as follows: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 Subject to adjustment upon changes in capitalization of the Company as provided in Section 15 of the Plan and the automatic increase set forth in Section 3.2 of the Plan, the maximum aggregate number of Shares that may be subject to Awards and sold under the Plan will be equal to [__] Shares, In addition, Shares may become available for issuance under Sections 3.2 and 3.2 of the Plan. The Shares may be authorized but unissued, or reacquired Common Stock.”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amended hereby, the terms of the 2022 Plan shall be and remain unchanged and the 2022 Plan as amended hereby shall remain in full force and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Amendment to be executed by its duly authorized representative on the day and year first above written.</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60 DEGREES PHARMACEUTICALS,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Geoffrey Dow</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25" w:lineRule="exact"/>
        <w:rPr>
          <w:sz w:val="20"/>
          <w:szCs w:val="20"/>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 The purposes of this Plan are:</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jc w:val="both"/>
        <w:ind w:firstLine="1952"/>
        <w:spacing w:after="0" w:line="253" w:lineRule="auto"/>
        <w:tabs>
          <w:tab w:leader="none" w:pos="21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ind w:firstLine="1952"/>
        <w:spacing w:after="0" w:line="259" w:lineRule="auto"/>
        <w:tabs>
          <w:tab w:leader="none" w:pos="21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60 Degrees Pharmaceuticals, Inc., a Delaware corporation, or any successor thereto.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Common Stock determined as follows:</w:t>
      </w:r>
    </w:p>
    <w:p>
      <w:pPr>
        <w:spacing w:after="0" w:line="159" w:lineRule="exact"/>
        <w:rPr>
          <w:sz w:val="20"/>
          <w:szCs w:val="20"/>
          <w:color w:val="auto"/>
        </w:rPr>
      </w:pPr>
    </w:p>
    <w:p>
      <w:pPr>
        <w:jc w:val="both"/>
        <w:ind w:firstLine="1952"/>
        <w:spacing w:after="0" w:line="258" w:lineRule="auto"/>
        <w:tabs>
          <w:tab w:leader="none" w:pos="2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1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 by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Performance Period as defined in Section 10.1.</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60 Degrees Pharmaceuticals, Inc. 2022 Equity Incentive Plan, as may be amended from time to time.</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including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of the Common Stock, as adjusted in accordance with Section 15 of the Plan.</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left="840" w:hanging="184"/>
        <w:spacing w:after="0"/>
        <w:tabs>
          <w:tab w:leader="none" w:pos="8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 Subject to adjustment upon changes in capitalization of the Company as provided in Section 15 of the Plan and the automatic increase set forth in Section 3.2 of the Plan, the maximum aggregate number of Shares that may be subject to Awards and sold under the Plan will be equal to [___] Shares, In addition, Shares may become available for issuance under Sections 3.2 and 3.2 of the Plan. The Shares may be authorized but unissued, or reacquired Common Stock.</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Automatic Share Reserve Increase</w:t>
      </w:r>
      <w:r>
        <w:rPr>
          <w:rFonts w:ascii="Times New Roman" w:cs="Times New Roman" w:eastAsia="Times New Roman" w:hAnsi="Times New Roman"/>
          <w:sz w:val="18"/>
          <w:szCs w:val="18"/>
          <w:color w:val="auto"/>
        </w:rPr>
        <w:t>. Subject to adjustment upon changes in capitalization of the Company as provided in Section 15, the number of Shares available for issuance under the Plan will be increased on the first day of each Fiscal Year beginning with the 2023 Fiscal Year, in an amount equal to the least of (a) a number of Shares equal to four percent (4%) of the total number of shares of all classes of common stock of the Company outstanding on the last day of the immediately preceding Fiscal Year, or (b) such number of Shares determined by the Administrator no later than the last day of the immediately preceding Fiscal Year.</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8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55" w:lineRule="exact"/>
        <w:rPr>
          <w:sz w:val="20"/>
          <w:szCs w:val="20"/>
          <w:color w:val="auto"/>
        </w:rPr>
      </w:pPr>
    </w:p>
    <w:p>
      <w:pPr>
        <w:ind w:left="1300" w:right="8300" w:hanging="644"/>
        <w:spacing w:after="0" w:line="500" w:lineRule="auto"/>
        <w:tabs>
          <w:tab w:leader="none" w:pos="8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the Plan.</w:t>
      </w:r>
    </w:p>
    <w:p>
      <w:pPr>
        <w:spacing w:after="0" w:line="203" w:lineRule="exact"/>
        <w:rPr>
          <w:sz w:val="20"/>
          <w:szCs w:val="20"/>
          <w:color w:val="auto"/>
        </w:rPr>
      </w:pPr>
    </w:p>
    <w:p>
      <w:pPr>
        <w:ind w:right="20" w:firstLine="1944"/>
        <w:spacing w:after="0" w:line="28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55" w:lineRule="exact"/>
        <w:rPr>
          <w:sz w:val="20"/>
          <w:szCs w:val="20"/>
          <w:color w:val="auto"/>
        </w:rPr>
      </w:pPr>
    </w:p>
    <w:p>
      <w:pPr>
        <w:ind w:right="20" w:firstLine="1944"/>
        <w:spacing w:after="0" w:line="28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59" w:lineRule="exact"/>
        <w:rPr>
          <w:sz w:val="20"/>
          <w:szCs w:val="20"/>
          <w:color w:val="auto"/>
        </w:rPr>
      </w:pPr>
    </w:p>
    <w:p>
      <w:pPr>
        <w:ind w:left="2200" w:hanging="248"/>
        <w:spacing w:after="0"/>
        <w:tabs>
          <w:tab w:leader="none" w:pos="2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dollar amounts to be covered by each Award granted hereunder;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88" w:lineRule="exact"/>
        <w:rPr>
          <w:rFonts w:ascii="Times New Roman" w:cs="Times New Roman" w:eastAsia="Times New Roman" w:hAnsi="Times New Roman"/>
          <w:sz w:val="18"/>
          <w:szCs w:val="18"/>
          <w:color w:val="auto"/>
        </w:rPr>
      </w:pPr>
    </w:p>
    <w:p>
      <w:pPr>
        <w:ind w:right="20" w:firstLine="1952"/>
        <w:spacing w:after="0" w:line="282" w:lineRule="auto"/>
        <w:tabs>
          <w:tab w:leader="none" w:pos="2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 including, subject to Section 20.3, to unilaterally implement an Exchange Program without the consent of the applicable Award holder;</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facilitating compliance with applicable non-U.S. laws, easing the administration of the Plan and/or for qualifying for favorable tax treatment under applicable non-U.S. laws, in each case as the Administrator may deem necessary or advisable;</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16;</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1"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55" w:lineRule="exact"/>
        <w:rPr>
          <w:sz w:val="20"/>
          <w:szCs w:val="20"/>
          <w:color w:val="auto"/>
        </w:rPr>
      </w:pPr>
    </w:p>
    <w:p>
      <w:pPr>
        <w:ind w:firstLine="656"/>
        <w:spacing w:after="0" w:line="286" w:lineRule="auto"/>
        <w:tabs>
          <w:tab w:leader="none" w:pos="8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and Performance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Service Providers. Incentive Stock Options may be granted only to Employees.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ind w:left="840" w:hanging="184"/>
        <w:spacing w:after="0"/>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term of the Incentive Stock Option will be five (5) years from the date of grant or such shorter term as may be provided in the Award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83"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5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b w:val="1"/>
          <w:bCs w:val="1"/>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b w:val="1"/>
          <w:bCs w:val="1"/>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88"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8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such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such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w:t>
      </w:r>
    </w:p>
    <w:p>
      <w:pPr>
        <w:spacing w:after="0" w:line="18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6.6.4 </w:t>
      </w:r>
      <w:r>
        <w:rPr>
          <w:rFonts w:ascii="Times New Roman" w:cs="Times New Roman" w:eastAsia="Times New Roman" w:hAnsi="Times New Roman"/>
          <w:sz w:val="18"/>
          <w:szCs w:val="18"/>
          <w:b w:val="1"/>
          <w:bCs w:val="1"/>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8"/>
          <w:szCs w:val="18"/>
          <w:b w:val="1"/>
          <w:bCs w:val="1"/>
          <w:color w:val="auto"/>
        </w:rPr>
        <w:t>Legal Representative</w:t>
      </w:r>
      <w:r>
        <w:rPr>
          <w:rFonts w:ascii="Times New Roman" w:cs="Times New Roman" w:eastAsia="Times New Roman" w:hAnsi="Times New Roman"/>
          <w:sz w:val="18"/>
          <w:szCs w:val="18"/>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ind w:left="1960"/>
        <w:spacing w:after="0"/>
        <w:rPr>
          <w:sz w:val="20"/>
          <w:szCs w:val="20"/>
          <w:color w:val="auto"/>
        </w:rPr>
      </w:pPr>
      <w:r>
        <w:rPr>
          <w:rFonts w:ascii="Times New Roman" w:cs="Times New Roman" w:eastAsia="Times New Roman" w:hAnsi="Times New Roman"/>
          <w:sz w:val="18"/>
          <w:szCs w:val="18"/>
          <w:color w:val="auto"/>
        </w:rPr>
        <w:t xml:space="preserve">6.6.5 </w:t>
      </w:r>
      <w:r>
        <w:rPr>
          <w:rFonts w:ascii="Times New Roman" w:cs="Times New Roman" w:eastAsia="Times New Roman" w:hAnsi="Times New Roman"/>
          <w:sz w:val="18"/>
          <w:szCs w:val="18"/>
          <w:b w:val="1"/>
          <w:bCs w:val="1"/>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229" w:lineRule="exact"/>
        <w:rPr>
          <w:sz w:val="20"/>
          <w:szCs w:val="20"/>
          <w:color w:val="auto"/>
        </w:rPr>
      </w:pPr>
    </w:p>
    <w:p>
      <w:pPr>
        <w:jc w:val="both"/>
        <w:ind w:firstLine="2600"/>
        <w:spacing w:after="0" w:line="261" w:lineRule="auto"/>
        <w:tabs>
          <w:tab w:leader="none" w:pos="2837"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spacing w:after="0" w:line="179" w:lineRule="exact"/>
        <w:rPr>
          <w:rFonts w:ascii="Times New Roman" w:cs="Times New Roman" w:eastAsia="Times New Roman" w:hAnsi="Times New Roman"/>
          <w:sz w:val="18"/>
          <w:szCs w:val="18"/>
          <w:color w:val="auto"/>
        </w:rPr>
      </w:pPr>
    </w:p>
    <w:p>
      <w:pPr>
        <w:jc w:val="both"/>
        <w:ind w:firstLine="2600"/>
        <w:spacing w:after="0" w:line="257" w:lineRule="auto"/>
        <w:tabs>
          <w:tab w:leader="none" w:pos="2867"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cessation of the Participant’s status as a Service Provider during which the exercise of the Option would not be in violation of such registration requirements.</w:t>
      </w:r>
    </w:p>
    <w:p>
      <w:pPr>
        <w:spacing w:after="0" w:line="17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59" w:lineRule="exact"/>
        <w:rPr>
          <w:sz w:val="20"/>
          <w:szCs w:val="20"/>
          <w:color w:val="auto"/>
        </w:rPr>
      </w:pPr>
    </w:p>
    <w:p>
      <w:pPr>
        <w:ind w:left="2200" w:hanging="248"/>
        <w:spacing w:after="0"/>
        <w:tabs>
          <w:tab w:leader="none" w:pos="2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b w:val="1"/>
          <w:bCs w:val="1"/>
          <w:color w:val="auto"/>
        </w:rPr>
        <w:t>8.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55" w:lineRule="exact"/>
        <w:rPr>
          <w:sz w:val="20"/>
          <w:szCs w:val="20"/>
          <w:color w:val="auto"/>
        </w:rPr>
      </w:pPr>
    </w:p>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ind w:left="920" w:hanging="264"/>
        <w:spacing w:after="0"/>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Earning Performance 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155" w:lineRule="exact"/>
        <w:rPr>
          <w:sz w:val="20"/>
          <w:szCs w:val="20"/>
          <w:color w:val="auto"/>
        </w:rPr>
      </w:pPr>
    </w:p>
    <w:p>
      <w:pPr>
        <w:jc w:val="both"/>
        <w:ind w:firstLine="656"/>
        <w:spacing w:after="0" w:line="257" w:lineRule="auto"/>
        <w:tabs>
          <w:tab w:leader="none" w:pos="91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Outside Director Award Limitations</w:t>
      </w:r>
      <w:r>
        <w:rPr>
          <w:rFonts w:ascii="Times New Roman" w:cs="Times New Roman" w:eastAsia="Times New Roman" w:hAnsi="Times New Roman"/>
          <w:sz w:val="18"/>
          <w:szCs w:val="18"/>
          <w:color w:val="auto"/>
        </w:rPr>
        <w:t>. No Outside Director may be granted, in any Fiscal Year, equity awards (including any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such individual’s initial service as an Outside Director. Any Awards granted or other compensation provided to an individual (a) for such individual’s services as an Employee, or for such individual’s services as a Consultant (other than as an Outside Director), or (b) prior to the Registration Date, will be excluded for purposes of this Section 11.</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85" w:lineRule="exact"/>
        <w:rPr>
          <w:rFonts w:ascii="Times New Roman" w:cs="Times New Roman" w:eastAsia="Times New Roman" w:hAnsi="Times New Roman"/>
          <w:sz w:val="18"/>
          <w:szCs w:val="18"/>
          <w:color w:val="auto"/>
        </w:rPr>
      </w:pPr>
    </w:p>
    <w:p>
      <w:pPr>
        <w:jc w:val="both"/>
        <w:ind w:firstLine="656"/>
        <w:spacing w:after="0" w:line="263" w:lineRule="auto"/>
        <w:tabs>
          <w:tab w:leader="none" w:pos="9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Awards granted hereunder will be suspended during any unpaid leave of absence. A Participant will not cease to be an Employee in the case of</w:t>
      </w:r>
    </w:p>
    <w:p>
      <w:pPr>
        <w:jc w:val="both"/>
        <w:ind w:firstLine="8"/>
        <w:spacing w:after="0" w:line="253" w:lineRule="auto"/>
        <w:tabs>
          <w:tab w:leader="none" w:pos="2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ind w:firstLine="656"/>
        <w:spacing w:after="0" w:line="259" w:lineRule="auto"/>
        <w:tabs>
          <w:tab w:leader="none" w:pos="9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6.6.4),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successor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that the acquiring or successor corporation (or an affiliate thereof) does not assume the Award (or portion thereof) as described below or substitute for the Award (or portion thereof) as described above, then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15.3 will be delayed until the earliest time that such payment would be permissible under Section 409A without triggering any penalties applicable under Section 409A.</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Outside Director Awards</w:t>
      </w:r>
      <w:r>
        <w:rPr>
          <w:rFonts w:ascii="Times New Roman" w:cs="Times New Roman" w:eastAsia="Times New Roman" w:hAnsi="Times New Roman"/>
          <w:sz w:val="18"/>
          <w:szCs w:val="18"/>
          <w:color w:val="auto"/>
        </w:rPr>
        <w:t>. With respect to Awards granted to an Outside Director, in the event of a Change in Control, the Participant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Participant and the Company or any of its Subsidiaries or Parents, as applicable.</w:t>
      </w:r>
    </w:p>
    <w:p>
      <w:pPr>
        <w:spacing w:after="0" w:line="182" w:lineRule="exact"/>
        <w:rPr>
          <w:sz w:val="20"/>
          <w:szCs w:val="20"/>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or other social insurance contribution obligation) required to be withheld or paid with respect to such Award (or exercise thereof).</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95" w:lineRule="exact"/>
        <w:rPr>
          <w:sz w:val="20"/>
          <w:szCs w:val="20"/>
          <w:color w:val="auto"/>
        </w:rPr>
      </w:pPr>
    </w:p>
    <w:p>
      <w:pPr>
        <w:jc w:val="both"/>
        <w:ind w:firstLine="656"/>
        <w:spacing w:after="0" w:line="262" w:lineRule="auto"/>
        <w:tabs>
          <w:tab w:leader="none" w:pos="9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free from any liability or claim under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656"/>
        <w:spacing w:after="0" w:line="268" w:lineRule="auto"/>
        <w:tabs>
          <w:tab w:leader="none" w:pos="9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Term of Plan</w:t>
      </w:r>
      <w:r>
        <w:rPr>
          <w:rFonts w:ascii="Times New Roman" w:cs="Times New Roman" w:eastAsia="Times New Roman" w:hAnsi="Times New Roman"/>
          <w:sz w:val="18"/>
          <w:szCs w:val="18"/>
          <w:color w:val="auto"/>
        </w:rPr>
        <w:t>. Subject to Section</w:t>
      </w:r>
      <w:r>
        <w:rPr>
          <w:rFonts w:ascii="Times New Roman" w:cs="Times New Roman" w:eastAsia="Times New Roman" w:hAnsi="Times New Roman"/>
          <w:sz w:val="18"/>
          <w:szCs w:val="18"/>
          <w:b w:val="1"/>
          <w:bCs w:val="1"/>
          <w:color w:val="auto"/>
        </w:rPr>
        <w:t xml:space="preserve"> Error! Reference source not found.</w:t>
      </w:r>
      <w:r>
        <w:rPr>
          <w:rFonts w:ascii="Times New Roman" w:cs="Times New Roman" w:eastAsia="Times New Roman" w:hAnsi="Times New Roman"/>
          <w:sz w:val="18"/>
          <w:szCs w:val="18"/>
          <w:color w:val="auto"/>
        </w:rPr>
        <w:t>3 of the Plan, the Plan will become effective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later to occur of (i) its adoption by the Board or (ii) the business day immediately prior to the Registration Date. It will continue in effect until terminated under Section 20, but no Incentive Stock Options may be granted after 10 years from the date adopted by the Board and Section 3.2 will operate only until the 10th anniversary of the date the Plan is adopted by the Board.</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in its sole discretion, may amend, alter, suspend or terminate the Plan, or any part thereof, at any time and for any reason.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6" w:lineRule="exact"/>
        <w:rPr>
          <w:sz w:val="20"/>
          <w:szCs w:val="20"/>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6" w:lineRule="exact"/>
        <w:rPr>
          <w:sz w:val="20"/>
          <w:szCs w:val="20"/>
          <w:color w:val="auto"/>
        </w:rPr>
      </w:pPr>
    </w:p>
    <w:p>
      <w:pPr>
        <w:jc w:val="both"/>
        <w:ind w:firstLine="656"/>
        <w:spacing w:after="0" w:line="257" w:lineRule="auto"/>
        <w:tabs>
          <w:tab w:leader="none" w:pos="9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If the Company determines it to be impossible or impractical to obtain authority from any regulatory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8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an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or return to the Company,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7"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OF CERTIFICATE OF INCORPORATION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242 of the General Corporation Law of the State of Delaware)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60 Degrees Pharmaceuticals, Inc., a corporation organized and existing under and by virtue of the General Corporation Law of the State of Delaware, does hereby certify:</w:t>
      </w:r>
    </w:p>
    <w:p>
      <w:pPr>
        <w:spacing w:after="0" w:line="158"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at a meeting of the Board of Directors of 60 Degrees Pharmaceuticals, Inc. resolutions were duly adopted setting forth a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of the certificate of incorporation of said corporation (the “Certificate of Incorporation”), declaring said amendments to be advisable and calling a meeting of the stockholders of said corporation for consideration thereof. The resolution setting forth the proposed amendment is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that the Certificate of Incorporation of this corporation be amended by deleting Section 4 in its entirety and inserting the following:</w:t>
      </w:r>
    </w:p>
    <w:p>
      <w:pPr>
        <w:spacing w:after="0" w:line="225" w:lineRule="exact"/>
        <w:rPr>
          <w:sz w:val="20"/>
          <w:szCs w:val="20"/>
          <w:color w:val="auto"/>
        </w:rPr>
      </w:pPr>
    </w:p>
    <w:p>
      <w:pPr>
        <w:jc w:val="both"/>
        <w:ind w:left="660" w:hanging="4"/>
        <w:spacing w:after="0" w:line="261" w:lineRule="auto"/>
        <w:tabs>
          <w:tab w:leader="none" w:pos="8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total number of shares of stock which the Corporation shall have the authority to issue shall be One Hundred Fifty One Million (151,000,000) shares. The Corporation shall be authorized to issue two classes of shares of stock, designated as “Common Stock” and “Preferred Stock.” The Corporation shall be authorized to issue One Hundred Fifty Million (150,000,000) shares of Common Stock, each share to have a par value of $0.0001 per share, and One Million (1,000,000) shares of Preferred Stock, each share to have a par value of $0.0001 per share.</w:t>
      </w:r>
    </w:p>
    <w:p>
      <w:pPr>
        <w:spacing w:after="0" w:line="176" w:lineRule="exact"/>
        <w:rPr>
          <w:sz w:val="20"/>
          <w:szCs w:val="20"/>
          <w:color w:val="auto"/>
        </w:rPr>
      </w:pPr>
    </w:p>
    <w:p>
      <w:pPr>
        <w:jc w:val="both"/>
        <w:ind w:left="660" w:hanging="4"/>
        <w:spacing w:after="0" w:line="254" w:lineRule="auto"/>
        <w:tabs>
          <w:tab w:leader="none" w:pos="9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12:01 a.m. Eastern Time on ________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____ shares of the Corporation’s Common Stock issued and outstanding immediately prior to the Effective Time shall, automatically and without any action on the part of the Corporation or the respective holders thereof, be combined and converted into one share of Common Stock without increasing or decreasing the par value of each share of Common Stock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No fractional shares of Common Stock shall be issued as a result of the Reverse Stock Split and, in lieu thereof, upon surrender after the Effective Time of a certificate or book entry position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one whole share. The Reverse Stock Split shall occur whether or not the certificates representing such shares of Common Stock are surrendered to the Corporation or its transfer agent. Each certificate or book entry position that immediately prior to the Effective Time represented shares of Common Stock shall thereafter represent the number of shares of Common Stock into which the shares of Common Stock represented by such certificate or book entry position has been combined, subject to the right to receive a whole share in lieu of any fractional share of Common Stock as set forth above.”</w:t>
      </w:r>
    </w:p>
    <w:p>
      <w:pPr>
        <w:spacing w:after="0" w:line="182"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thereafter, the holders of outstanding stock having not less than the minimum number of votes that would be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or take such action at a stockholders meeting at which all shares entitled to vote thereon were present and voted, approved of the proposed amendment at the Annual Meeting of Stockholders held on [____], 2026 pursuant to Section 242 of the General Corporation Law of the State of Delaware.</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That said amendment was duly adopted in accordance with the provisions of Section 242 of the General Corporation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corporation has caused this certificate to be signed on [*], 2026.</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Geoffrey Dow</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Amendment as of the date first set forth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60 DEGREES PHARMACEUTICALS, INC.</w:t>
      </w:r>
    </w:p>
    <w:p>
      <w:pPr>
        <w:spacing w:after="0" w:line="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294005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upperLetter"/>
      <w:start w:val="1"/>
    </w:lvl>
  </w:abstractNum>
  <w:abstractNum w:abstractNumId="6">
    <w:nsid w:val="51EAD36B"/>
    <w:multiLevelType w:val="hybridMultilevel"/>
    <w:lvl w:ilvl="0">
      <w:lvlJc w:val="left"/>
      <w:lvlText w:val="%1:"/>
      <w:numFmt w:val="upperLetter"/>
      <w:start w:val="1"/>
    </w:lvl>
  </w:abstractNum>
  <w:abstractNum w:abstractNumId="7">
    <w:nsid w:val="2D517796"/>
    <w:multiLevelType w:val="hybridMultilevel"/>
    <w:lvl w:ilvl="0">
      <w:lvlJc w:val="left"/>
      <w:lvlText w:val="%1:"/>
      <w:numFmt w:val="upperLetter"/>
      <w:start w:val="1"/>
    </w:lvl>
  </w:abstractNum>
  <w:abstractNum w:abstractNumId="8">
    <w:nsid w:val="580BD78F"/>
    <w:multiLevelType w:val="hybridMultilevel"/>
    <w:lvl w:ilvl="0">
      <w:lvlJc w:val="left"/>
      <w:lvlText w:val="%1:"/>
      <w:numFmt w:val="upperLetter"/>
      <w:start w:val="1"/>
    </w:lvl>
  </w:abstractNum>
  <w:abstractNum w:abstractNumId="9">
    <w:nsid w:val="153EA438"/>
    <w:multiLevelType w:val="hybridMultilevel"/>
    <w:lvl w:ilvl="0">
      <w:lvlJc w:val="left"/>
      <w:lvlText w:val="%1:"/>
      <w:numFmt w:val="upperLetter"/>
      <w:start w:val="17"/>
    </w:lvl>
  </w:abstractNum>
  <w:abstractNum w:abstractNumId="10">
    <w:nsid w:val="3855585C"/>
    <w:multiLevelType w:val="hybridMultilevel"/>
    <w:lvl w:ilvl="0">
      <w:lvlJc w:val="left"/>
      <w:lvlText w:val="%1:"/>
      <w:numFmt w:val="upperLetter"/>
      <w:start w:val="1"/>
    </w:lvl>
  </w:abstractNum>
  <w:abstractNum w:abstractNumId="11">
    <w:nsid w:val="70A64E2A"/>
    <w:multiLevelType w:val="hybridMultilevel"/>
    <w:lvl w:ilvl="0">
      <w:lvlJc w:val="left"/>
      <w:lvlText w:val="%1:"/>
      <w:numFmt w:val="upperLetter"/>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upperLetter"/>
      <w:start w:val="1"/>
    </w:lvl>
  </w:abstractNum>
  <w:abstractNum w:abstractNumId="14">
    <w:nsid w:val="1D4ED43B"/>
    <w:multiLevelType w:val="hybridMultilevel"/>
    <w:lvl w:ilvl="0">
      <w:lvlJc w:val="left"/>
      <w:lvlText w:val="%1:"/>
      <w:numFmt w:val="upperLetter"/>
      <w:start w:val="1"/>
    </w:lvl>
  </w:abstractNum>
  <w:abstractNum w:abstractNumId="15">
    <w:nsid w:val="725A06FB"/>
    <w:multiLevelType w:val="hybridMultilevel"/>
    <w:lvl w:ilvl="0">
      <w:lvlJc w:val="left"/>
      <w:lvlText w:val="%1:"/>
      <w:numFmt w:val="upperLetter"/>
      <w:start w:val="1"/>
    </w:lvl>
  </w:abstractNum>
  <w:abstractNum w:abstractNumId="16">
    <w:nsid w:val="2CD89A32"/>
    <w:multiLevelType w:val="hybridMultilevel"/>
    <w:lvl w:ilvl="0">
      <w:lvlJc w:val="left"/>
      <w:lvlText w:val="%1:"/>
      <w:numFmt w:val="upperLetter"/>
      <w:start w:val="1"/>
    </w:lvl>
  </w:abstractNum>
  <w:abstractNum w:abstractNumId="17">
    <w:nsid w:val="57E4CCAF"/>
    <w:multiLevelType w:val="hybridMultilevel"/>
    <w:lvl w:ilvl="0">
      <w:lvlJc w:val="left"/>
      <w:lvlText w:val="%1:"/>
      <w:numFmt w:val="upperLetter"/>
      <w:start w:val="1"/>
    </w:lvl>
    <w:lvl w:ilvl="1">
      <w:lvlJc w:val="left"/>
      <w:lvlText w:val="●"/>
      <w:numFmt w:val="bullet"/>
      <w:start w:val="1"/>
    </w:lvl>
  </w:abstractNum>
  <w:abstractNum w:abstractNumId="18">
    <w:nsid w:val="7A6D8D3C"/>
    <w:multiLevelType w:val="hybridMultilevel"/>
    <w:lvl w:ilvl="0">
      <w:lvlJc w:val="left"/>
      <w:lvlText w:val="%1:"/>
      <w:numFmt w:val="upperLetter"/>
      <w:start w:val="16"/>
    </w:lvl>
    <w:lvl w:ilvl="1">
      <w:lvlJc w:val="left"/>
      <w:lvlText w:val="●"/>
      <w:numFmt w:val="bullet"/>
      <w:start w:val="1"/>
    </w:lvl>
  </w:abstractNum>
  <w:abstractNum w:abstractNumId="19">
    <w:nsid w:val="4B588F54"/>
    <w:multiLevelType w:val="hybridMultilevel"/>
    <w:lvl w:ilvl="0">
      <w:lvlJc w:val="left"/>
      <w:lvlText w:val="%1:"/>
      <w:numFmt w:val="upperLetter"/>
      <w:start w:val="1"/>
    </w:lvl>
    <w:lvl w:ilvl="1">
      <w:lvlJc w:val="left"/>
      <w:lvlText w:val="●"/>
      <w:numFmt w:val="bullet"/>
      <w:start w:val="1"/>
    </w:lvl>
  </w:abstractNum>
  <w:abstractNum w:abstractNumId="20">
    <w:nsid w:val="542289EC"/>
    <w:multiLevelType w:val="hybridMultilevel"/>
    <w:lvl w:ilvl="0">
      <w:lvlJc w:val="left"/>
      <w:lvlText w:val="%1:"/>
      <w:numFmt w:val="upperLetter"/>
      <w:start w:val="1"/>
    </w:lvl>
  </w:abstractNum>
  <w:abstractNum w:abstractNumId="21">
    <w:nsid w:val="6DE91B18"/>
    <w:multiLevelType w:val="hybridMultilevel"/>
    <w:lvl w:ilvl="0">
      <w:lvlJc w:val="left"/>
      <w:lvlText w:val="%1:"/>
      <w:numFmt w:val="upperLetter"/>
      <w:start w:val="1"/>
    </w:lvl>
    <w:lvl w:ilvl="1">
      <w:lvlJc w:val="left"/>
      <w:lvlText w:val="●"/>
      <w:numFmt w:val="bullet"/>
      <w:start w:val="1"/>
    </w:lvl>
  </w:abstractNum>
  <w:abstractNum w:abstractNumId="22">
    <w:nsid w:val="38437FDB"/>
    <w:multiLevelType w:val="hybridMultilevel"/>
    <w:lvl w:ilvl="0">
      <w:lvlJc w:val="left"/>
      <w:lvlText w:val="%1:"/>
      <w:numFmt w:val="upperLetter"/>
      <w:start w:val="1"/>
    </w:lvl>
  </w:abstractNum>
  <w:abstractNum w:abstractNumId="23">
    <w:nsid w:val="7644A45C"/>
    <w:multiLevelType w:val="hybridMultilevel"/>
    <w:lvl w:ilvl="0">
      <w:lvlJc w:val="left"/>
      <w:lvlText w:val="%1:"/>
      <w:numFmt w:val="upperLetter"/>
      <w:start w:val="1"/>
    </w:lvl>
    <w:lvl w:ilvl="1">
      <w:lvlJc w:val="left"/>
      <w:lvlText w:val="●"/>
      <w:numFmt w:val="bullet"/>
      <w:start w:val="1"/>
    </w:lvl>
  </w:abstractNum>
  <w:abstractNum w:abstractNumId="24">
    <w:nsid w:val="32FFF902"/>
    <w:multiLevelType w:val="hybridMultilevel"/>
    <w:lvl w:ilvl="0">
      <w:lvlJc w:val="left"/>
      <w:lvlText w:val="%1:"/>
      <w:numFmt w:val="upperLetter"/>
      <w:start w:val="1"/>
    </w:lvl>
  </w:abstractNum>
  <w:abstractNum w:abstractNumId="25">
    <w:nsid w:val="684A481A"/>
    <w:multiLevelType w:val="hybridMultilevel"/>
    <w:lvl w:ilvl="0">
      <w:lvlJc w:val="left"/>
      <w:lvlText w:val="%1:"/>
      <w:numFmt w:val="upperLetter"/>
      <w:start w:val="1"/>
    </w:lvl>
  </w:abstractNum>
  <w:abstractNum w:abstractNumId="26">
    <w:nsid w:val="579478FE"/>
    <w:multiLevelType w:val="hybridMultilevel"/>
    <w:lvl w:ilvl="0">
      <w:lvlJc w:val="left"/>
      <w:lvlText w:val="%1:"/>
      <w:numFmt w:val="upperLetter"/>
      <w:start w:val="1"/>
    </w:lvl>
  </w:abstractNum>
  <w:abstractNum w:abstractNumId="27">
    <w:nsid w:val="749ABB43"/>
    <w:multiLevelType w:val="hybridMultilevel"/>
    <w:lvl w:ilvl="0">
      <w:lvlJc w:val="left"/>
      <w:lvlText w:val="%1:"/>
      <w:numFmt w:val="upperLetter"/>
      <w:start w:val="1"/>
    </w:lvl>
  </w:abstractNum>
  <w:abstractNum w:abstractNumId="28">
    <w:nsid w:val="3DC240FB"/>
    <w:multiLevelType w:val="hybridMultilevel"/>
    <w:lvl w:ilvl="0">
      <w:lvlJc w:val="left"/>
      <w:lvlText w:val="%1:"/>
      <w:numFmt w:val="upperLetter"/>
      <w:start w:val="1"/>
    </w:lvl>
  </w:abstractNum>
  <w:abstractNum w:abstractNumId="29">
    <w:nsid w:val="1BA026FA"/>
    <w:multiLevelType w:val="hybridMultilevel"/>
    <w:lvl w:ilvl="0">
      <w:lvlJc w:val="left"/>
      <w:lvlText w:val="%1:"/>
      <w:numFmt w:val="upperLetter"/>
      <w:start w:val="1"/>
    </w:lvl>
  </w:abstractNum>
  <w:abstractNum w:abstractNumId="30">
    <w:nsid w:val="79A1DEAA"/>
    <w:multiLevelType w:val="hybridMultilevel"/>
    <w:lvl w:ilvl="0">
      <w:lvlJc w:val="left"/>
      <w:lvlText w:val="%1:"/>
      <w:numFmt w:val="upperLetter"/>
      <w:start w:val="1"/>
    </w:lvl>
  </w:abstractNum>
  <w:abstractNum w:abstractNumId="31">
    <w:nsid w:val="75C6C33A"/>
    <w:multiLevelType w:val="hybridMultilevel"/>
    <w:lvl w:ilvl="0">
      <w:lvlJc w:val="left"/>
      <w:lvlText w:val="%1:"/>
      <w:numFmt w:val="upperLetter"/>
      <w:start w:val="1"/>
    </w:lvl>
  </w:abstractNum>
  <w:abstractNum w:abstractNumId="32">
    <w:nsid w:val="12E685FB"/>
    <w:multiLevelType w:val="hybridMultilevel"/>
    <w:lvl w:ilvl="0">
      <w:lvlJc w:val="left"/>
      <w:lvlText w:val="%1:"/>
      <w:numFmt w:val="upperLetter"/>
      <w:start w:val="1"/>
    </w:lvl>
  </w:abstractNum>
  <w:abstractNum w:abstractNumId="33">
    <w:nsid w:val="70C6A529"/>
    <w:multiLevelType w:val="hybridMultilevel"/>
    <w:lvl w:ilvl="0">
      <w:lvlJc w:val="left"/>
      <w:lvlText w:val="%1:"/>
      <w:numFmt w:val="upperLetter"/>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30"/>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2"/>
    </w:lvl>
    <w:lvl w:ilvl="1">
      <w:lvlJc w:val="left"/>
      <w:lvlText w:val="(%2)"/>
      <w:numFmt w:val="lowerRoman"/>
      <w:start w:val="2"/>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lvl w:ilvl="1">
      <w:lvlJc w:val="left"/>
      <w:lvlText w:val="●"/>
      <w:numFmt w:val="bullet"/>
      <w:start w:val="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2"/>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decimal"/>
      <w:start w:val="3"/>
    </w:lvl>
  </w:abstractNum>
  <w:abstractNum w:abstractNumId="53">
    <w:nsid w:val="77AE35EB"/>
    <w:multiLevelType w:val="hybridMultilevel"/>
    <w:lvl w:ilvl="0">
      <w:lvlJc w:val="left"/>
      <w:lvlText w:val="%1."/>
      <w:numFmt w:val="decimal"/>
      <w:start w:val="4"/>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decimal"/>
      <w:start w:val="5"/>
    </w:lvl>
  </w:abstractNum>
  <w:abstractNum w:abstractNumId="56">
    <w:nsid w:val="5FF87E05"/>
    <w:multiLevelType w:val="hybridMultilevel"/>
    <w:lvl w:ilvl="0">
      <w:lvlJc w:val="left"/>
      <w:lvlText w:val="%1."/>
      <w:numFmt w:val="decimal"/>
      <w:start w:val="6"/>
    </w:lvl>
  </w:abstractNum>
  <w:abstractNum w:abstractNumId="57">
    <w:nsid w:val="2F305DE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8">
    <w:nsid w:val="25A70BF7"/>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decimal"/>
      <w:start w:val="9"/>
    </w:lvl>
  </w:abstractNum>
  <w:abstractNum w:abstractNumId="61">
    <w:nsid w:val="1F48EAA1"/>
    <w:multiLevelType w:val="hybridMultilevel"/>
    <w:lvl w:ilvl="0">
      <w:lvlJc w:val="left"/>
      <w:lvlText w:val="%1."/>
      <w:numFmt w:val="decimal"/>
      <w:start w:val="10"/>
    </w:lvl>
  </w:abstractNum>
  <w:abstractNum w:abstractNumId="62">
    <w:nsid w:val="1381823A"/>
    <w:multiLevelType w:val="hybridMultilevel"/>
    <w:lvl w:ilvl="0">
      <w:lvlJc w:val="left"/>
      <w:lvlText w:val="%1"/>
      <w:numFmt w:val="lowerLetter"/>
      <w:start w:val="1"/>
    </w:lvl>
    <w:lvl w:ilvl="1">
      <w:lvlJc w:val="left"/>
      <w:lvlText w:val="%2."/>
      <w:numFmt w:val="decimal"/>
      <w:start w:val="11"/>
    </w:lvl>
  </w:abstractNum>
  <w:abstractNum w:abstractNumId="63">
    <w:nsid w:val="5DB70AE5"/>
    <w:multiLevelType w:val="hybridMultilevel"/>
    <w:lvl w:ilvl="0">
      <w:lvlJc w:val="left"/>
      <w:lvlText w:val="(%1)"/>
      <w:numFmt w:val="lowerLetter"/>
      <w:start w:val="1"/>
    </w:lvl>
    <w:lvl w:ilvl="1">
      <w:lvlJc w:val="left"/>
      <w:lvlText w:val="%2"/>
      <w:numFmt w:val="decimal"/>
      <w:start w:val="1"/>
    </w:lvl>
  </w:abstractNum>
  <w:abstractNum w:abstractNumId="64">
    <w:nsid w:val="100F8FCA"/>
    <w:multiLevelType w:val="hybridMultilevel"/>
    <w:lvl w:ilvl="0">
      <w:lvlJc w:val="left"/>
      <w:lvlText w:val="%1."/>
      <w:numFmt w:val="decimal"/>
      <w:start w:val="14"/>
    </w:lvl>
  </w:abstractNum>
  <w:abstractNum w:abstractNumId="65">
    <w:nsid w:val="6590700B"/>
    <w:multiLevelType w:val="hybridMultilevel"/>
    <w:lvl w:ilvl="0">
      <w:lvlJc w:val="left"/>
      <w:lvlText w:val="%1."/>
      <w:numFmt w:val="decimal"/>
      <w:start w:val="16"/>
    </w:lvl>
  </w:abstractNum>
  <w:abstractNum w:abstractNumId="66">
    <w:nsid w:val="15014ACB"/>
    <w:multiLevelType w:val="hybridMultilevel"/>
    <w:lvl w:ilvl="0">
      <w:lvlJc w:val="left"/>
      <w:lvlText w:val="%1."/>
      <w:numFmt w:val="decimal"/>
      <w:start w:val="17"/>
    </w:lvl>
  </w:abstractNum>
  <w:abstractNum w:abstractNumId="67">
    <w:nsid w:val="5F5E7FD0"/>
    <w:multiLevelType w:val="hybridMultilevel"/>
    <w:lvl w:ilvl="0">
      <w:lvlJc w:val="left"/>
      <w:lvlText w:val="%1."/>
      <w:numFmt w:val="decimal"/>
      <w:start w:val="18"/>
    </w:lvl>
  </w:abstractNum>
  <w:abstractNum w:abstractNumId="68">
    <w:nsid w:val="98A3148"/>
    <w:multiLevelType w:val="hybridMultilevel"/>
    <w:lvl w:ilvl="0">
      <w:lvlJc w:val="left"/>
      <w:lvlText w:val="%1."/>
      <w:numFmt w:val="decimal"/>
      <w:start w:val="21"/>
    </w:lvl>
  </w:abstractNum>
  <w:abstractNum w:abstractNumId="69">
    <w:nsid w:val="799D0247"/>
    <w:multiLevelType w:val="hybridMultilevel"/>
    <w:lvl w:ilvl="0">
      <w:lvlJc w:val="left"/>
      <w:lvlText w:val="%1."/>
      <w:numFmt w:val="decimal"/>
      <w:start w:val="22"/>
    </w:lvl>
    <w:lvl w:ilvl="1">
      <w:lvlJc w:val="left"/>
      <w:lvlText w:val="*"/>
      <w:numFmt w:val="bullet"/>
      <w:start w:val="1"/>
    </w:lvl>
  </w:abstractNum>
  <w:abstractNum w:abstractNumId="70">
    <w:nsid w:val="6B94764"/>
    <w:multiLevelType w:val="hybridMultilevel"/>
    <w:lvl w:ilvl="0">
      <w:lvlJc w:val="left"/>
      <w:lvlText w:val="%1."/>
      <w:numFmt w:val="decimal"/>
      <w:start w:val="4"/>
    </w:lvl>
  </w:abstractNum>
  <w:abstractNum w:abstractNumId="71">
    <w:nsid w:val="42C296B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2026-06-08T16:17:02Z</dcterms:created>
  <dcterms:modified xsi:type="dcterms:W3CDTF">2026-06-08T16:17:02Z</dcterms:modified>
</cp:coreProperties>
</file>