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6941-def14a_60degrees.htm"/>
      <w:bookmarkStart w:id="1" w:name="ksea0296941def14a_60degrees"/>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230"/>
        <w:gridCol w:w="75"/>
      </w:tblGrid>
      <w:tr>
        <w:trPr/>
        <w:tc>
          <w:tcPr>
            <w:tcW w:w="3365" w:type="dxa"/>
            <w:tcBorders/>
            <w:vAlign w:val="center"/>
          </w:tcPr>
          <w:p>
            <w:pPr>
              <w:pStyle w:val="TableContents"/>
              <w:bidi w:val="0"/>
              <w:spacing w:before="0" w:after="283"/>
              <w:jc w:val="left"/>
              <w:rPr>
                <w:sz w:val="20"/>
              </w:rPr>
            </w:pPr>
            <w:r>
              <w:rPr>
                <w:sz w:val="20"/>
              </w:rPr>
              <w:t>Filed by the Registrant</w:t>
            </w:r>
          </w:p>
        </w:tc>
        <w:tc>
          <w:tcPr>
            <w:tcW w:w="23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23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Soliciting Material under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430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685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60 DEGREES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 of Filing Fee (Check all boxes that apply): </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45"/>
        <w:gridCol w:w="1280"/>
      </w:tblGrid>
      <w:tr>
        <w:trPr/>
        <w:tc>
          <w:tcPr>
            <w:tcW w:w="245"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sz w:val="20"/>
              </w:rPr>
            </w:pPr>
            <w:r>
              <w:rPr>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sz w:val="20"/>
              </w:rPr>
            </w:pPr>
            <w:r>
              <w:rPr>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sz w:val="20"/>
              </w:rPr>
            </w:pPr>
            <w:r>
              <w:rPr>
                <w:sz w:val="20"/>
              </w:rPr>
              <w:t>Fee computed on table in exhibit required by Item 25(b) per Exchange Act Rules 14a- 6(i)(1)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4307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43075" cy="685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br/>
        <w:t>Washington, D.C. 20036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https://60degreespharma.com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behalf of your Board of Directors, we cordially invite you to attend the 2026 Annual Meeting of Stockholders of 60 Degrees Pharmaceuticals, Inc. (the “Annual Meeting”). The Annual Meeting will be held on August 5, 2026, at 12:00 p.m. Eastern Time, in a virtual meeting format only and conducted via live audio webcast over the telephone to enable our stockholders to participate from locations around the world. Stockholders will </w:t>
      </w:r>
      <w:r>
        <w:rPr>
          <w:rFonts w:ascii="Times New Roman;Times;Serif" w:hAnsi="Times New Roman;Times;Serif"/>
          <w:b/>
          <w:i w:val="false"/>
          <w:caps w:val="false"/>
          <w:smallCaps w:val="false"/>
          <w:sz w:val="20"/>
        </w:rPr>
        <w:t>NOT</w:t>
      </w:r>
      <w:r>
        <w:rPr>
          <w:rFonts w:ascii="Times New Roman;Times;Serif" w:hAnsi="Times New Roman;Times;Serif"/>
          <w:b w:val="false"/>
          <w:i w:val="false"/>
          <w:caps w:val="false"/>
          <w:smallCaps w:val="false"/>
          <w:sz w:val="20"/>
        </w:rPr>
        <w:t xml:space="preserve"> be able to attend the Annual Meeting in person. The Annual Meeting will be accessible only over the telephone. Please see “Attending the Virtual Annual Meeting” in the proxy statement (“Proxy Statement”) accompanying this letter for information on how to obtain the proxy materials, attend, ask questions at the Annual Meeting and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making available to you the accompanying Notice of Annual Meeting of Stockholders (“Notice”), Proxy Statement and form of proxy card or voting instruction form on or about July 2, 2026. We are pleased to furnish proxy materials to stockholders primarily over the internet. We believe that this process expedites stockholders’ receipt of proxy materials, lowers the costs of our Annual Meeting and conserves natural resources. On or about July 2, 2026, we mailed to our stockholders a Notice of Internet Availability of Proxy Materials (the “Internet Availability Notice”) that includes instructions on how to access our Proxy Statement and 2025 Annual Report and how to vote over the telephone. The Internet Availability Notice also includes instructions on how you can receive a paper copy of your Annual Meeting materials, including the Notice, Proxy Statement and proxy card or voting instruction form. If you elected to receive your Annual Meeting materials by mail, the Notice, Proxy Statement and proxy card or voting instruction form were enclosed. If you elected to receive your Annual Meeting materials via e-mail, the e-mail contains voting instructions and links to the 2025 Annual Report and the Proxy Statement, both of which are available on our website at </w:t>
      </w:r>
      <w:r>
        <w:rPr>
          <w:rFonts w:ascii="Times New Roman;Times;Serif" w:hAnsi="Times New Roman;Times;Serif"/>
          <w:b w:val="false"/>
          <w:i/>
          <w:caps w:val="false"/>
          <w:smallCaps w:val="false"/>
          <w:sz w:val="20"/>
        </w:rPr>
        <w:t>https://60degreespharma.com</w:t>
      </w:r>
      <w:r>
        <w:rPr>
          <w:rFonts w:ascii="Times New Roman;Times;Serif" w:hAnsi="Times New Roman;Times;Serif"/>
          <w:b w:val="false"/>
          <w:i w:val="false"/>
          <w:caps w:val="false"/>
          <w:smallCaps w:val="false"/>
          <w:sz w:val="20"/>
        </w:rPr>
        <w:t>. Additional details regarding admission to, and the business to be conducted at, the Annual Meeting are described in the accompanying Notice and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July 2, 2026, are entitled to notice of, and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important.</w:t>
      </w:r>
      <w:r>
        <w:rPr>
          <w:rFonts w:ascii="Times New Roman;Times;Serif" w:hAnsi="Times New Roman;Times;Serif"/>
          <w:b w:val="false"/>
          <w:i w:val="false"/>
          <w:caps w:val="false"/>
          <w:smallCaps w:val="false"/>
          <w:sz w:val="20"/>
        </w:rPr>
        <w:t xml:space="preserve"> Regardless of whether you plan to attend the Annual Meeting, we hope that you will vote as soon as possible. You may vote over by telephone or by mailing in a proxy card. Please review the instructions on the proxy card or voting instruction form regarding each of these voting options. Voting will ensure your representation at the Annual Meeting regardless of whether you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60 Degrees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12" w:space="0" w:color="000000"/>
            </w:tcBorders>
            <w:vAlign w:val="center"/>
          </w:tcPr>
          <w:p>
            <w:pPr>
              <w:pStyle w:val="TableContents"/>
              <w:bidi w:val="0"/>
              <w:spacing w:before="0" w:after="283"/>
              <w:jc w:val="left"/>
              <w:rPr>
                <w:i/>
                <w:sz w:val="20"/>
              </w:rPr>
            </w:pPr>
            <w:r>
              <w:rPr>
                <w:i/>
                <w:sz w:val="20"/>
              </w:rPr>
              <w:t>/s/ Geoffrey Dow</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tcMar>
              <w:bottom w:w="0" w:type="dxa"/>
            </w:tcMar>
            <w:vAlign w:val="center"/>
          </w:tcPr>
          <w:p>
            <w:pPr>
              <w:pStyle w:val="TableContents"/>
              <w:bidi w:val="0"/>
              <w:spacing w:before="0" w:after="283"/>
              <w:jc w:val="left"/>
              <w:rPr>
                <w:sz w:val="20"/>
              </w:rPr>
            </w:pPr>
            <w:r>
              <w:rPr>
                <w:sz w:val="20"/>
              </w:rPr>
              <w:t>Geoffrey Dow</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tcMar>
              <w:bottom w:w="0" w:type="dxa"/>
            </w:tcMar>
            <w:vAlign w:val="center"/>
          </w:tcPr>
          <w:p>
            <w:pPr>
              <w:pStyle w:val="TableContents"/>
              <w:bidi w:val="0"/>
              <w:spacing w:before="0" w:after="283"/>
              <w:jc w:val="left"/>
              <w:rPr>
                <w:sz w:val="20"/>
              </w:rPr>
            </w:pPr>
            <w:r>
              <w:rPr>
                <w:sz w:val="20"/>
              </w:rPr>
              <w:t>Chief Executive Officer and President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https://60degreespharma.com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Be Held Virtually at 12:00 p.m. (Eastern Time) on 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Stockholders (the “Annual Meeting”) of 60 Degrees Pharmaceuticals, Inc., a Delaware corporation (“Company,” “we,” “us” and “our”), will be held on August 5, 2026, at 12:00 p.m. (Eastern Time) via a live audio webcast over the telephone. You will be able to virtually attend the Annual Meeting over the telephone and ask questions during the Annual Meeting. We are holding the Annual Meeting for the following purposes, which are more fully described in the accompanying proxy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(1)</w:t>
            </w:r>
          </w:p>
        </w:tc>
        <w:tc>
          <w:tcPr>
            <w:tcW w:w="9949" w:type="dxa"/>
            <w:tcBorders/>
            <w:vAlign w:val="center"/>
          </w:tcPr>
          <w:p>
            <w:pPr>
              <w:pStyle w:val="TableContents"/>
              <w:bidi w:val="0"/>
              <w:spacing w:before="0" w:after="283"/>
              <w:jc w:val="both"/>
              <w:rPr/>
            </w:pPr>
            <w:r>
              <w:rPr>
                <w:sz w:val="20"/>
              </w:rPr>
              <w:t>to elect five (5) directors to serve until the 2027</w:t>
            </w:r>
            <w:r>
              <w:rPr/>
              <w:t xml:space="preserve"> Annual Meeting of Stockholders and until their respective successors are duly elected and qualified (the “Director Election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(2)</w:t>
            </w:r>
          </w:p>
        </w:tc>
        <w:tc>
          <w:tcPr>
            <w:tcW w:w="9955" w:type="dxa"/>
            <w:tcBorders/>
            <w:vAlign w:val="center"/>
          </w:tcPr>
          <w:p>
            <w:pPr>
              <w:pStyle w:val="TableContents"/>
              <w:bidi w:val="0"/>
              <w:spacing w:before="0" w:after="283"/>
              <w:jc w:val="both"/>
              <w:rPr>
                <w:sz w:val="20"/>
              </w:rPr>
            </w:pPr>
            <w:r>
              <w:rPr>
                <w:sz w:val="20"/>
              </w:rPr>
              <w:t>to approve an amendment to the 60 Degrees Pharmaceuticals, Inc. 2022 Equity Incentive Plan (the “2022 Plan”) to increase the number of shares of common stock available for issuance by 800,000 shares (the “2022 Plan Amendment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(3)</w:t>
            </w:r>
          </w:p>
        </w:tc>
        <w:tc>
          <w:tcPr>
            <w:tcW w:w="9966" w:type="dxa"/>
            <w:tcBorders/>
            <w:vAlign w:val="center"/>
          </w:tcPr>
          <w:p>
            <w:pPr>
              <w:pStyle w:val="TableContents"/>
              <w:bidi w:val="0"/>
              <w:spacing w:before="0" w:after="283"/>
              <w:jc w:val="both"/>
              <w:rPr/>
            </w:pPr>
            <w:r>
              <w:rPr/>
              <w:t>to approve an amendment to our certificate of incorporation, as corrected (“Certificate of Incorporation”), to effect a reverse stock split of our common stock at a reverse stock split ratio ranging from 1:5 to 1:10 inclusive, as determined by our Board of Directors in its sole discretion (the “Certificate of Incorporation Amendment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(4)</w:t>
            </w:r>
          </w:p>
        </w:tc>
        <w:tc>
          <w:tcPr>
            <w:tcW w:w="9938" w:type="dxa"/>
            <w:tcBorders/>
            <w:vAlign w:val="center"/>
          </w:tcPr>
          <w:p>
            <w:pPr>
              <w:pStyle w:val="TableContents"/>
              <w:bidi w:val="0"/>
              <w:spacing w:before="0" w:after="283"/>
              <w:jc w:val="both"/>
              <w:rPr>
                <w:sz w:val="20"/>
              </w:rPr>
            </w:pPr>
            <w:r>
              <w:rPr>
                <w:sz w:val="20"/>
              </w:rPr>
              <w:t>to ratify the selection by our Board of Directors of RBSM LLP as our independent auditor for the fiscal year ending December 31, 2025 (the “Auditor Proposal”);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(5)</w:t>
            </w:r>
          </w:p>
        </w:tc>
        <w:tc>
          <w:tcPr>
            <w:tcW w:w="9970" w:type="dxa"/>
            <w:tcBorders/>
            <w:vAlign w:val="center"/>
          </w:tcPr>
          <w:p>
            <w:pPr>
              <w:pStyle w:val="TableContents"/>
              <w:bidi w:val="0"/>
              <w:spacing w:before="0" w:after="283"/>
              <w:jc w:val="both"/>
              <w:rPr/>
            </w:pPr>
            <w:r>
              <w:rPr/>
              <w:t>to approve a payment to management of a success fee of five percent (5%) of deal proceeds between a deal value of $40 and 100 million, and 6% of deal proceeds for a deal value in excess of $100 million, in the event of a change of control/strategic transaction or sale of Arakoda, to be awarded as cash or equity to members of the management team, as determined by the Board of Directors at its sole discretion (the “Management Success Fee Proposal)”;</w:t>
            </w:r>
          </w:p>
        </w:tc>
      </w:tr>
    </w:tbl>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(6)</w:t>
            </w:r>
          </w:p>
        </w:tc>
        <w:tc>
          <w:tcPr>
            <w:tcW w:w="9962" w:type="dxa"/>
            <w:tcBorders/>
            <w:vAlign w:val="center"/>
          </w:tcPr>
          <w:p>
            <w:pPr>
              <w:pStyle w:val="TableContents"/>
              <w:bidi w:val="0"/>
              <w:spacing w:before="0" w:after="283"/>
              <w:jc w:val="both"/>
              <w:rPr>
                <w:sz w:val="20"/>
              </w:rPr>
            </w:pPr>
            <w:r>
              <w:rPr>
                <w:sz w:val="20"/>
              </w:rPr>
              <w:t>to approve adjourning the Annual Meeting, if necessary, to solicit additional proxies in the event there are not sufficient votes in favor of the Director Election Proposal, the 2022 Plan Amendment Proposal and the Certificate of Incorporation Amendment Proposal at the time of the Annual Meeting (the “Adjournment Proposal”); and</w:t>
            </w:r>
          </w:p>
        </w:tc>
      </w:tr>
    </w:tbl>
    <w:p>
      <w:pPr>
        <w:pStyle w:val="TextBody"/>
        <w:bidi w:val="0"/>
        <w:spacing w:before="0" w:after="0"/>
        <w:ind w:left="36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245"/>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(7)</w:t>
            </w:r>
          </w:p>
        </w:tc>
        <w:tc>
          <w:tcPr>
            <w:tcW w:w="5915" w:type="dxa"/>
            <w:tcBorders/>
            <w:vAlign w:val="center"/>
          </w:tcPr>
          <w:p>
            <w:pPr>
              <w:pStyle w:val="TableContents"/>
              <w:bidi w:val="0"/>
              <w:spacing w:before="0" w:after="283"/>
              <w:jc w:val="both"/>
              <w:rPr>
                <w:sz w:val="20"/>
              </w:rPr>
            </w:pPr>
            <w:r>
              <w:rPr>
                <w:sz w:val="20"/>
              </w:rPr>
              <w:t>to transact such other business as may properly come before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proxy statement (“Proxy Statement”) accompanying this Notice of Annual Meeting of Stockholders (the “Notice”). We are not aware of any other business to come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careful consideration, the Board has determined that each proposal listed above is in the best interests of the Company and its stockholders and has approved each proposal. </w:t>
      </w:r>
      <w:r>
        <w:rPr>
          <w:rFonts w:ascii="Times New Roman;Times;Serif" w:hAnsi="Times New Roman;Times;Serif"/>
          <w:b/>
          <w:i w:val="false"/>
          <w:caps w:val="false"/>
          <w:smallCaps w:val="false"/>
          <w:sz w:val="20"/>
        </w:rPr>
        <w:t>The Board recommends a vote “FOR” the Election of each director nominee (Proposal 1), “FOR” the approval of an amendment to the 2022 Plan (Proposal 2), “FOR” the approval of an amendment to our Certificate of Incorporation (Proposal 3), “ “FOR” the ratification of our independent auditor (Proposal 4), “FOR” the approval of a Management Success Fee in connection with a Change of Control or Strategic Transaction (Proposal 5) and “FOR” the approval of the Adjournment Proposal (Proposal 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stockholders are invited to attend the Annual Meeting virtually and no stockholder will be able to attend the Annual Meeting in person. The Annual Meeting will be accessible via the telephone in accordance with the instructions contained in the Proxy Statement. Please see “</w:t>
      </w:r>
      <w:r>
        <w:rPr>
          <w:rFonts w:ascii="Times New Roman;Times;Serif" w:hAnsi="Times New Roman;Times;Serif"/>
          <w:b w:val="false"/>
          <w:i/>
          <w:caps w:val="false"/>
          <w:smallCaps w:val="false"/>
          <w:sz w:val="20"/>
        </w:rPr>
        <w:t>Questions and Answers About the Meeting and Voting—How Do I Vote At The Annual Meeting?</w:t>
      </w:r>
      <w:r>
        <w:rPr>
          <w:rFonts w:ascii="Times New Roman;Times;Serif" w:hAnsi="Times New Roman;Times;Serif"/>
          <w:b w:val="false"/>
          <w:i w:val="false"/>
          <w:caps w:val="false"/>
          <w:smallCaps w:val="false"/>
          <w:sz w:val="20"/>
        </w:rPr>
        <w:t>” in the Proxy Statement accompanying this Notice for information on how to attend, ask questions during the Annual Meeting and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at the Annual Meeting if you were a stockholder of record as of the close of business on July 2, 2026 (the “Record Date”). Only stockholders of record on the Record Date are entitled to receive this Notice and to vote at the Annual Meeting or at any postponement(s) or, continuations(s) or adjournment(s)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Form 10-K (the “2025 Annual Report”) accompanies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THE PROXY MATERIALS AND ANNUAL REPORT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read the 2025 Annual Report, this Notice and Proxy Statement on our website at </w:t>
      </w:r>
      <w:r>
        <w:rPr>
          <w:rFonts w:ascii="Times New Roman;Times;Serif" w:hAnsi="Times New Roman;Times;Serif"/>
          <w:b w:val="false"/>
          <w:i/>
          <w:caps w:val="false"/>
          <w:smallCaps w:val="false"/>
          <w:sz w:val="20"/>
        </w:rPr>
        <w:t>https://investors.60degreespharma.com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Notice, the Proxy Statement and the form of proxy are first being made available to stockholders on or about July 2, 2026, at </w:t>
      </w:r>
      <w:r>
        <w:rPr>
          <w:rFonts w:ascii="Times New Roman;Times;Serif" w:hAnsi="Times New Roman;Times;Serif"/>
          <w:b w:val="false"/>
          <w:i/>
          <w:caps w:val="false"/>
          <w:smallCaps w:val="false"/>
          <w:sz w:val="20"/>
        </w:rPr>
        <w:t>www.SXTP.vote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YOU MAY VOTE BY TELEPHONE OR BY MAILING BACK A PROXY CARD. PLEASE REVIEW THE INSTRUCTIONS IN THE PROXY STATEMENT OR ON THE PROXY CARD OR VOTING INSTRUCTION FORM REGARDING EACH OF THESE VOTING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 are able to attend the Annual Meeting virtually via the telephone. Whether or not you attend, it is important that your stock be represented and voted at the meeting. I urge you to please complete, date and return the proxy card in the enclosed envelope, vote your shares electronically or vote by telephone using the information provided in the attached Proxy Statement prior to the Annual Meeting date. The vote of each stockholder is very important. You may revoke your written proxy at any time before it is voted at the Annual Meeting by giving written notice to the Company’s Chief Financial Officer, by submitting a properly executed paper proxy bearing a later date or by attending the Annual Meeting virtually and voting online during the meeting. Stockholders may also revoke their proxies by entering a new vote by telephone.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28" w:type="dxa"/>
          <w:right w:w="0" w:type="dxa"/>
        </w:tblCellMar>
      </w:tblPr>
      <w:tblGrid>
        <w:gridCol w:w="3845"/>
        <w:gridCol w:w="75"/>
      </w:tblGrid>
      <w:tr>
        <w:trPr/>
        <w:tc>
          <w:tcPr>
            <w:tcW w:w="3845"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Geoffrey Dow</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Geoffrey Dow</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 President</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92"/>
        <w:gridCol w:w="60"/>
        <w:gridCol w:w="253"/>
      </w:tblGrid>
      <w:tr>
        <w:trPr/>
        <w:tc>
          <w:tcPr>
            <w:tcW w:w="9892" w:type="dxa"/>
            <w:tcBorders/>
            <w:shd w:fill="CCEEFF" w:val="clear"/>
            <w:vAlign w:val="center"/>
          </w:tcPr>
          <w:p>
            <w:pPr>
              <w:pStyle w:val="TableContents"/>
              <w:bidi w:val="0"/>
              <w:spacing w:before="0" w:after="283"/>
              <w:ind w:left="0" w:right="0" w:hanging="180"/>
              <w:jc w:val="both"/>
              <w:rPr/>
            </w:pPr>
            <w:hyperlink w:anchor="a_001">
              <w:r>
                <w:rPr>
                  <w:rStyle w:val="InternetLink"/>
                  <w:sz w:val="20"/>
                </w:rPr>
                <w:t>QUESTIONS AND ANSWERS ABOUT THE ANNUAL MEETING</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2</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2">
              <w:r>
                <w:rPr>
                  <w:rStyle w:val="InternetLink"/>
                  <w:sz w:val="20"/>
                </w:rPr>
                <w:t>PROPOSAL 1: ELECTION OF DIRECTORS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8</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3">
              <w:r>
                <w:rPr>
                  <w:rStyle w:val="InternetLink"/>
                  <w:sz w:val="20"/>
                </w:rPr>
                <w:t>DIRECTORS AND EXECUTIVE OFFICERS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9</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4">
              <w:r>
                <w:rPr>
                  <w:rStyle w:val="InternetLink"/>
                  <w:sz w:val="20"/>
                </w:rPr>
                <w:t>CORPORATE GOVERNANCE</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11</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5">
              <w:r>
                <w:rPr>
                  <w:rStyle w:val="InternetLink"/>
                  <w:sz w:val="20"/>
                </w:rPr>
                <w:t>AUDIT COMMITTEE REPORT</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15</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6">
              <w:r>
                <w:rPr>
                  <w:rStyle w:val="InternetLink"/>
                  <w:sz w:val="20"/>
                </w:rPr>
                <w:t>DIRECTOR COMPENSATION</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7">
              <w:r>
                <w:rPr>
                  <w:rStyle w:val="InternetLink"/>
                  <w:sz w:val="20"/>
                </w:rPr>
                <w:t>EXECUTIVE COMPENSATION</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18</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8">
              <w:r>
                <w:rPr>
                  <w:rStyle w:val="InternetLink"/>
                  <w:sz w:val="20"/>
                </w:rPr>
                <w:t>DELINQUENT SECTION 16(A) REPORTS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20</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09">
              <w:r>
                <w:rPr>
                  <w:rStyle w:val="InternetLink"/>
                  <w:sz w:val="20"/>
                </w:rPr>
                <w:t>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21</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0">
              <w:r>
                <w:rPr>
                  <w:rStyle w:val="InternetLink"/>
                  <w:sz w:val="20"/>
                </w:rPr>
                <w:t>CERTAIN RELATIONSHIPS AND RELATED TRANSACTIONS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23</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1">
              <w:r>
                <w:rPr>
                  <w:rStyle w:val="InternetLink"/>
                  <w:sz w:val="20"/>
                </w:rPr>
                <w:t>PROPOSAL 2: APPROVAL OF AMENDMENT TO THE 2022 EQUITY INCENTIVE PLAN TO INCREASE TOTAL NUMBER OF AUTHORIZED SHARES BY 800,000 SHARES</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24</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2">
              <w:r>
                <w:rPr>
                  <w:rStyle w:val="InternetLink"/>
                  <w:sz w:val="20"/>
                </w:rPr>
                <w:t xml:space="preserve">PROPOSAL 3: APPROVAL OF AMENDMENT OF CERTIFICATE OF INCORPORATION TO EFFECT A REVERSE STOCK SPLIT AT A SPLIT RATIO OF 1:5 TO 1:10, INCLUSIVE, AS DETERMINED BY THE BOARD OF DIRECTORS IN ITS SOLE DISCRETION </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30</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3">
              <w:r>
                <w:rPr>
                  <w:rStyle w:val="InternetLink"/>
                  <w:sz w:val="20"/>
                </w:rPr>
                <w:t xml:space="preserve">PROPOSAL 4: RATIFICATION OF APPOINTMENT OF INDEPENDENT REGISTERED PUBLIC ACCOUNTING FIRM </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35</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4">
              <w:r>
                <w:rPr>
                  <w:rStyle w:val="InternetLink"/>
                  <w:sz w:val="20"/>
                </w:rPr>
                <w:t xml:space="preserve">PROPOSAL 5: </w:t>
              </w:r>
            </w:hyperlink>
            <w:hyperlink w:anchor="a_014">
              <w:r>
                <w:rPr>
                  <w:rStyle w:val="InternetLink"/>
                  <w:strike w:val="false"/>
                  <w:dstrike w:val="false"/>
                  <w:sz w:val="20"/>
                  <w:u w:val="none"/>
                  <w:effect w:val="none"/>
                </w:rPr>
                <w:t>APPROVAL OF MANAGEMENT SUCCESS FEE IN CONNECTION WITH A CHANGE OF CONTROL OR STRATEGIC TRANSACTION</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pPr>
            <w:r>
              <w:rPr/>
              <w:t>36</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5">
              <w:r>
                <w:rPr>
                  <w:rStyle w:val="InternetLink"/>
                  <w:sz w:val="20"/>
                </w:rPr>
                <w:t>PROPOSAL 6: APPROVAL OF THE ADJOURNMENT OF THE ANNUAL MEETING, IF NECESSARY, TO SOLICIT ADDITIONAL PROXIES IN THE EVENT THERE ARE NOT SUFFICIENT VOTES IN FAVOR OF THE DIRECTOR ELCTION PROPOSAL, THE 2022 PLAN AMENDMENT PROPOSAL,  THE CERTIFICATE OF INCORPORATION AMENDMENT PROPOSAL</w:t>
              </w:r>
            </w:hyperlink>
            <w:hyperlink w:anchor="a_015">
              <w:r>
                <w:rPr>
                  <w:rStyle w:val="InternetLink"/>
                </w:rPr>
                <w:t xml:space="preserve"> </w:t>
              </w:r>
            </w:hyperlink>
            <w:hyperlink w:anchor="a_015">
              <w:r>
                <w:rPr>
                  <w:rStyle w:val="InternetLink"/>
                  <w:sz w:val="20"/>
                </w:rPr>
                <w:t xml:space="preserve">AND THE MANAGEMENT SUCCESS FEE PROPOSAL </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180"/>
              <w:jc w:val="center"/>
              <w:rPr>
                <w:sz w:val="20"/>
              </w:rPr>
            </w:pPr>
            <w:r>
              <w:rPr>
                <w:sz w:val="20"/>
              </w:rPr>
              <w:t>37</w:t>
            </w:r>
          </w:p>
        </w:tc>
      </w:tr>
      <w:tr>
        <w:trPr/>
        <w:tc>
          <w:tcPr>
            <w:tcW w:w="989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180"/>
              <w:jc w:val="center"/>
              <w:rPr/>
            </w:pPr>
            <w:r>
              <w:rPr/>
              <w:t> </w:t>
            </w:r>
          </w:p>
        </w:tc>
      </w:tr>
      <w:tr>
        <w:trPr/>
        <w:tc>
          <w:tcPr>
            <w:tcW w:w="9892" w:type="dxa"/>
            <w:tcBorders/>
            <w:shd w:fill="CCEEFF" w:val="clear"/>
            <w:vAlign w:val="center"/>
          </w:tcPr>
          <w:p>
            <w:pPr>
              <w:pStyle w:val="TableContents"/>
              <w:bidi w:val="0"/>
              <w:spacing w:before="0" w:after="283"/>
              <w:jc w:val="both"/>
              <w:rPr/>
            </w:pPr>
            <w:hyperlink w:anchor="a_016">
              <w:r>
                <w:rPr>
                  <w:rStyle w:val="InternetLink"/>
                  <w:sz w:val="20"/>
                </w:rPr>
                <w:t>ADDITIONAL INFORMATION</w:t>
              </w:r>
            </w:hyperlink>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center"/>
              <w:rPr>
                <w:sz w:val="20"/>
              </w:rPr>
            </w:pPr>
            <w:r>
              <w:rPr>
                <w:sz w:val="20"/>
              </w:rPr>
              <w:t>38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br/>
        <w:t>Washington, D.C. 20036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Annual Meeting of Stockholders to Be Held on 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60 Degrees Pharmaceuticals, Inc., a Delaware corporation (“60 Degrees Pharmaceuticals,” “60P,” “Company,” “we,” “us” or “our”), solicits the enclosed proxy for use at the 2026 Annual Meeting of Stockholders of the Company (“Annual Meeting”) to be held on August 5, 2026, only via live audio webcast over the telephone by following the instructions set forth here at “</w:t>
      </w:r>
      <w:r>
        <w:rPr>
          <w:rFonts w:ascii="Times New Roman;Times;Serif" w:hAnsi="Times New Roman;Times;Serif"/>
          <w:b w:val="false"/>
          <w:i/>
          <w:caps w:val="false"/>
          <w:smallCaps w:val="false"/>
          <w:sz w:val="20"/>
        </w:rPr>
        <w:t>Questions and Answers About the Meeting And Voting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How Do I Vote at the Annual Meeting?</w:t>
      </w:r>
      <w:r>
        <w:rPr>
          <w:rFonts w:ascii="Times New Roman;Times;Serif" w:hAnsi="Times New Roman;Times;Serif"/>
          <w:b w:val="false"/>
          <w:i w:val="false"/>
          <w:caps w:val="false"/>
          <w:smallCaps w:val="false"/>
          <w:sz w:val="20"/>
        </w:rPr>
        <w:t>” This proxy statement (“Proxy Statement”) and the accompanying Notice of Annual Meeting of Stockholders (the “Notice”) and form of proxy are first being made available to stockholders on or about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proxy materials to our stockholders primarily via the internet. On or about July 2, 2026, we mailed to our stockholders a Notice of Internet Availability of Proxy Materials (the “Internet Availability Notice”) containing instructions on how to access our proxy materials, including our Proxy Statement and our 2025 Annual Report to Stockholders (the “2025 Annual Report”). The Internet Availability Notice also provides information on how to access your voting instructions to be able to vote by telephone. Other stockholders, in accordance with their prior requests, have received e-mail notification of how to access our proxy materials and vote via telephone, or have been mailed paper copies of our proxy materials and a proxy card or voting instruction form. Internet distribution of our proxy materials helps to expedite receipt by our stockholders, lowers the cost of the Annual Meeting and conserves natural resources. If you have previously elected to receive our proxy materials electronically, you will continue to receive these materials via e-mail unless you elect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offices of the Company are located at, and the mailing address of the Company is 1025 Connecticut Avenue NW Suite 1000, Washington, D.C. 20036.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about the matters to be voted on at the Annual Meeting and the voting process, as well as information about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Securities and Exchange Commission (“SEC”)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July 2, 2026, we will begin sending to our stockholders the Internet Availability Notice containing instructions on how to access our Proxy Statement for our Annual Meeting and our 2025 Annual Report. The Internet Availability Notice also provides instructions on how to vote and access the virtual Annual Meeting by telephone and how to receive a paper copy of the proxy materials by mail. The Notice and Proxy Statement are also available at </w:t>
      </w:r>
      <w:r>
        <w:rPr>
          <w:rFonts w:ascii="Times New Roman;Times;Serif" w:hAnsi="Times New Roman;Times;Serif"/>
          <w:b/>
          <w:i/>
          <w:caps w:val="false"/>
          <w:smallCaps w:val="false"/>
          <w:sz w:val="20"/>
        </w:rPr>
        <w:t>www.SXTP.vote.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QUESTIONS AND ANSWERS ABOUT THE MEETING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By using the methods discussed below, you will be appointing Geoffrey Dow, the Chief Executive Officer, President and a director of the Company, and Tyrone Miller, the Chief Financial Officer of the Company, as your proxy. The proxy agent will vote on your behalf, and will have the authority to appoint a substitute to act as proxy. If you are unable to attend the Annual Meeting, please vote by proxy so that your shares may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 proxy statement is a document that regulations of the SEC require that we give to you when we ask you to sign a proxy card to vote your stock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purpose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our Annual Meeting, stockholders will vote on: (i) the election of five (5) directors; (ii) to approve an amendment to the 60 Degrees Pharmaceuticals, Inc. 2022 Equity Incentive Plan (the “2022 Plan”) to increase the number of shares of common stock available for issuance 800,000 shares; (iii) to approve an amendment to our certificate of incorporation, as corrected (“Certificate of Incorporation”), to effect a reverse stock split of our common stock at a reverse stock split ratio ranging from 1:5 to 1:10 inclusive, as determined by our Board in its sole discretion; (iv) the ratification of the selection by our Board of RBSM LLP as our independent auditor for the fiscal year ending December 31, 2026; (v) to approve a management success fee in connection with a change of control or strategic transaction and (vi) such other matters as may come before the meeting. We are not currently aware of any such matters. In addition, following the meeting our management will report on the Company’s performance over the last fiscal year and respond to questions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Board has made these materials available to you over the internet at www.SXTP.vote, or has delivered printed versions of these materials to you by mail, in connection with the Board’s solicitation of proxies for use at the Annual Meeting. The Annual Meeting is scheduled to be held on August 5, 2026, at 12:00 p.m. Eastern Time, via live audio webcast via telephone. This solicitation by the Board is for proxies for use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did I receive a one-page notice in the mail regarding the Internet availability of proxy materials this year instead of a full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As permitted by SEC rules, we are making this Proxy Statement and our Annual Report available to our stockholders electronically via the internet. On or about July 2, 2026, we mailed to our stockholders the Internet Availability Notice containing instructions on how to access this proxy statement and our Annual Report and vote online. If you received the Internet Availability Notice by mail you will not receive a printed copy of the proxy materials in the mail unless you request a copy. The Internet Availability Notice instructs you on how to access and review all of the important information contained in the Proxy Statement and Annual Report. The Internet Availability Notice also instructs you on how you may submit your proxy by telephone. If you received the Internet Availability Notice by mail and would like to receive a printed copy of our proxy materials, you should follow the instructions for requesting such materials contained on the Internet Availability Notice and note that any requests to receive printed proxy materials must be requested no later than July 10, 2026. We encourage you to take advantage of the availability of the proxy materials on the internet in order to help lower the costs of delivery and reduce the Company’s 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obtain the materials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have received the Internet Availability Notice in the mail of how to obtain materials for the Annual Meeting. Please follow the instructions on the Internet Availability Notice to obtain the materials either via the internet, by telephone or by e-mail.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view the following proxy materials on the Company’s website at </w:t>
      </w:r>
      <w:r>
        <w:rPr>
          <w:rFonts w:ascii="Times New Roman;Times;Serif" w:hAnsi="Times New Roman;Times;Serif"/>
          <w:b w:val="false"/>
          <w:i/>
          <w:caps w:val="false"/>
          <w:smallCaps w:val="false"/>
          <w:sz w:val="20"/>
        </w:rPr>
        <w:t>https://60degreespharma.com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sz w:val="20"/>
              </w:rPr>
            </w:pPr>
            <w:r>
              <w:rPr>
                <w:sz w:val="20"/>
              </w:rPr>
              <w:t>the Company’s 2025 Annual Report; and</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sz w:val="20"/>
              </w:rPr>
            </w:pPr>
            <w:r>
              <w:rPr>
                <w:sz w:val="20"/>
              </w:rPr>
              <w:t>the Company’s 2026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not vote on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urges you to request your materials before July 10, 2026, so that you will receive them in a timely manner in order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may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Annual Meeting is open to all stockholders of record as of close of business on July 2, 2026 (the “Record Date”), or their duly appointed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I need in order to attend the Annual Meeting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may attend the Annual Meeting via the telephone, vote your shares and, after the meeting adjourns, ask a question during the Annual Meeting. On the day of the Annual Meeting, you may attend the Annual Meeting by calling the telephone number provided and following the instructions to vote your shares. Please have your Virtual Control Number with you while calling into the Annual Meeting. Further instructions on how to vote are set forth below in the question “</w:t>
      </w:r>
      <w:r>
        <w:rPr>
          <w:rFonts w:ascii="Times New Roman;Times;Serif" w:hAnsi="Times New Roman;Times;Serif"/>
          <w:b w:val="false"/>
          <w:i/>
          <w:caps w:val="false"/>
          <w:smallCaps w:val="false"/>
          <w:sz w:val="20"/>
        </w:rPr>
        <w:t>How do I vote at the Annual Meeting?</w:t>
      </w:r>
      <w:r>
        <w:rPr>
          <w:rFonts w:ascii="Times New Roman;Times;Serif" w:hAnsi="Times New Roman;Times;Serif"/>
          <w:b w:val="false"/>
          <w:i w:val="false"/>
          <w:caps w:val="false"/>
          <w:smallCaps w:val="false"/>
          <w:sz w:val="20"/>
        </w:rPr>
        <w:t>” If you do not comply with the procedures outlined in this Proxy Statement, you will not be admitted to the virtual Annual Meeting. Online access will begin on or around 11:30 A.M. Eastern Time on August 5, 2026, and we encourage you to access the meeting prior to the start time. The meeting audio webcast will begin promptly at 12:00 p.m. Eastern Time on August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stockholders ask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Yes. Representatives of the Company will answer stockholders’ questions of general interest after the adjournment of the Annual Meeting. Depending upon the number of persons asking questions, the Chairman of the meeting may limit the number of questions one person may ask in order to give a greater number of stockholders an opportunity to ask questions. If you choose to attend the meeting over the telephone, you may request to ask a question during the Annual Meeting. Questions will be answered as time allows.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may vote if you owned 60 Degrees Pharmaceuticals common stock as of the close of business on July 2, 2026. Each share of 60 Degrees Pharmaceuticals common stock is entitled to one vote. As of the Record Date, the Company had 2,659,288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am I voting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will be voting on the following items of business at the Annual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election of five (5) directors to serve until the 2026 Annual Meeting of stockholders and until their respective successors are duly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approve an amendment to the 2022 Plan to increase the number of shares of common stock available for issuance by 800,000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approve an amendment to our Certificate of Incorporation to effect a reverse stock split of our common stock at a reverse stock split ratio ranging from 1:5 to 1:10 inclusive, as determined by our Board in its sole discretion;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ratification of the selection by our Board of RBSM LLP as our independent auditor for the fiscal year ending December 31, 2026;</w:t>
            </w:r>
          </w:p>
        </w:tc>
      </w:tr>
    </w:tbl>
    <w:p>
      <w:pPr>
        <w:pStyle w:val="TextBody"/>
        <w:bidi w:val="0"/>
        <w:spacing w:before="0" w:after="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trike w:val="false"/>
                <w:dstrike w:val="false"/>
                <w:sz w:val="20"/>
                <w:u w:val="none"/>
                <w:effect w:val="none"/>
              </w:rPr>
            </w:pPr>
            <w:r>
              <w:rPr>
                <w:strike w:val="false"/>
                <w:dstrike w:val="false"/>
                <w:sz w:val="20"/>
                <w:u w:val="none"/>
                <w:effect w:val="none"/>
              </w:rPr>
              <w:t>to approve a Management Success Fee in connection with a change of control or strategic transaction;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approve adjourning the Annual Meeting, if necessary, to solicit additional proxies in the event there are not sufficient votes in favor of the Director Election Proposal, 2022 Plan Amendment Proposal, the Certificate of Incorporation Amendment Proposal at the time of the Annual Meeting, the Auditor Proposal and the Management Success Fee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sz w:val="20"/>
              </w:rPr>
            </w:pPr>
            <w:r>
              <w:rPr>
                <w:sz w:val="20"/>
              </w:rPr>
              <w:t>any other business that properly comes before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does the Board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Our Board recommends that you vote your shares:</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pPr>
            <w:r>
              <w:rPr/>
              <w:t>“</w:t>
            </w:r>
            <w:r>
              <w:rPr>
                <w:b/>
                <w:sz w:val="20"/>
              </w:rPr>
              <w:t>FOR</w:t>
            </w:r>
            <w:r>
              <w:rPr>
                <w:sz w:val="20"/>
              </w:rPr>
              <w:t>” each of the nominees named in this Proxy Statement for election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t>“</w:t>
            </w:r>
            <w:r>
              <w:rPr>
                <w:b/>
                <w:sz w:val="20"/>
              </w:rPr>
              <w:t>FOR</w:t>
            </w:r>
            <w:r>
              <w:rPr>
                <w:sz w:val="20"/>
              </w:rPr>
              <w:t>” the approval of an amendment to the 2022 Plan;</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pPr>
            <w:r>
              <w:rPr/>
              <w:t>“</w:t>
            </w:r>
            <w:r>
              <w:rPr>
                <w:b/>
                <w:sz w:val="20"/>
              </w:rPr>
              <w:t>FOR</w:t>
            </w:r>
            <w:r>
              <w:rPr>
                <w:sz w:val="20"/>
              </w:rPr>
              <w:t>” the approval of an amendment to our Certificate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b/>
                <w:sz w:val="20"/>
              </w:rPr>
              <w:t>FOR</w:t>
            </w:r>
            <w:r>
              <w:rPr>
                <w:sz w:val="20"/>
              </w:rPr>
              <w:t>” the ratification of the selection by our Board of RBSM LLP as our independent auditor for the fiscal year ending December 31,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b/>
                <w:sz w:val="20"/>
              </w:rPr>
              <w:t>FOR</w:t>
            </w:r>
            <w:r>
              <w:rPr>
                <w:sz w:val="20"/>
              </w:rPr>
              <w:t>”  the Management Success Fee Proposal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b/>
                <w:sz w:val="20"/>
              </w:rPr>
              <w:t>FOR</w:t>
            </w:r>
            <w:r>
              <w:rPr>
                <w:sz w:val="20"/>
              </w:rPr>
              <w:t>” the approval of the Adjournment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provide authority for the persons named as proxies to vote on other matters that may come before the Annual Meeting in their discretion. The Board has made no recommendation as to how the proxies will vote with respect to other matters that may come before the meeting. Such proxies will vote on any other matter in their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have received the Internet Availability Notice in the mail that described the methods of voting at the virtual Annual Meeting. Please refer to that notice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a paper proxy card, you may vote by mail by returning the proxy card to the address on the enclosed envelope.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vote your shares electronically at the Annual Meeting, you will need to call into the Annual Meeting while the polls are open (you will need the Virtual Control Number included on your proxy card that was included with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may cast their vote during the meeting by calling to the virtual meeting with the Virtual Control Number, which is included in the Internet Availability Notice and then, following the instructions while the polls are open during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holders will need to submit a legal proxy no later than 5:00 p.m. Eastern Time on August 4, 2026, to Proxy@equitystock.com. The beneficial holder will then be issued a Virtual Control Number, which can be used to enter the Annual Meeting and cast their vote while the polls are open during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record or beneficial shareholder may call the number listed in the Notice of Internet Availability for the Annual Meeting without a Virtual Control Number if the shareholder identifies themselves as a shareholder on the phone. The shareholder will not be able to cast a vote nor ask questions during the Q&amp;A section using this method to join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you encounter technical difficulties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in accessing the Annual Meeting live audio webcast. Please be sure to check in by 11:30 A.m. Eastern time, on August 5, 2026, the day of the Annual Meeting, so that we may address any technical difficulties before the Annual Meeting live audio webcast begins. If you encounter any difficulties accessing the Annual Meeting live audio webcast during the check-in or meeting time, please email proxy@equitystock.com or call (877) 804-2062 (toll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urges you to vote before August 5, 2026, to ensure that your vote is timely received and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mind after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may change your vote at any time before the polls close at the Annual Meeting. You may do this by:</w:t>
      </w:r>
    </w:p>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signing another proxy card with a later date and returning it to us prior to the Annual Meeting; or</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voting again by telephone during the virtual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attendance at the Annual Meeting will not have the effect of revoking a proxy unless you take any of the actions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count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Equity Stock Transfer, an independent inspector who is not affiliated with the Company or any director, director nominee or officer of the Company, will count the votes and will serve as the inspector of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if I return my proxy card but do not provide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vote by proxy card, your shares will be voted as you instruct by the individuals named as proxies on the proxy card. If you sign and return a proxy card but do not specify how your shares are to be voted, the persons named as proxies on the proxy card will vote your shares in accordance with the recommendations of the Board. These recommendations are:</w:t>
      </w:r>
    </w:p>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b/>
                <w:sz w:val="20"/>
              </w:rPr>
              <w:t>FOR</w:t>
            </w:r>
            <w:r>
              <w:rPr>
                <w:sz w:val="20"/>
              </w:rPr>
              <w:t xml:space="preserve"> the election of the five (5) nominees for director named in this Proxy Statement (Proposal 1);</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sz w:val="20"/>
              </w:rPr>
            </w:pPr>
            <w:r>
              <w:rPr>
                <w:b/>
                <w:sz w:val="20"/>
              </w:rPr>
              <w:t xml:space="preserve">FOR </w:t>
            </w:r>
            <w:r>
              <w:rPr>
                <w:sz w:val="20"/>
              </w:rPr>
              <w:t>the approval of an amendment to the 2022 Plan (Proposal 2);</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b/>
                <w:sz w:val="20"/>
              </w:rPr>
              <w:t xml:space="preserve">FOR </w:t>
            </w:r>
            <w:r>
              <w:rPr>
                <w:sz w:val="20"/>
              </w:rPr>
              <w:t>the approval of an amendment to our Certificate of Incorporation (Proposal 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FOR </w:t>
            </w:r>
            <w:r>
              <w:rPr>
                <w:sz w:val="20"/>
              </w:rPr>
              <w:t xml:space="preserve">the ratification of the selection by our Board of RBSM LLP as our independent auditor for the fiscal year ending December 31, 2026 (Proposal 4);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FOR</w:t>
            </w:r>
            <w:r>
              <w:rPr>
                <w:sz w:val="20"/>
              </w:rPr>
              <w:t xml:space="preserve"> the Management Success Fee Proposal (Proposal 5)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FOR</w:t>
            </w:r>
            <w:r>
              <w:rPr>
                <w:sz w:val="20"/>
              </w:rPr>
              <w:t xml:space="preserve"> the approval of the adjournment of the Annual Meeting, if necessary, to solicit additional proxies in the event there are not sufficient votes in favor of the Director Election Proposal, the 2022 Plan Amendment Proposal, the Certificate of Incorporation Amendment Proposal at the time of the Annual Meeting, the Auditor Proposal and the Management Success Fee Proposal (Proposal 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provide authority for the persons named as proxies to vote on other matters that may come before the Annual Meeting in their discretion. The Board has made no recommendation as to how the proxies will vote with respect to other matters that may come before the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does it mean if I receive more than one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It means that you have multiple accounts with brokers and/or our transfer agent. Please vote all of these shares. We recommend that you contact your broker and/or our transfer agent to consolidate as many accounts as possible under the same name and address. Our transfer agent is Equity Stock Transfer, LLC, which may be reached at (212) 575-5757.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Will my shares be voted if I do not provide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Your shares may be voted if they are held in the name of a brokerage firm, even if you do not provide the brokerage firm with voting instructions. Brokerage firms have the authority under the rules of Nasdaq to vote shares for which their customers do not provide voting instructions on certain “routine” matters. The proposal to ratify the selection of RBSM LLP as our independent auditor for fiscal year 2026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 Abstentions and broker non-votes will have no effect on the outcome of the vote on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many votes must be present to hold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Your shares are counted as present at the Annual Meeting if you attend the Annual Meeting online or if you properly return a proxy by telephone or mail. In order for us to conduct our Annual Meeting, at least thirty-three and 34/100ths of the outstanding shares of stock, as of the Record Date, entitled to vote must be present or represented by proxy at the Annual Meeting. This is referred to as a quorum. Abstentions and broker non-votes will be counted for purposes of establishing a quorum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many votes are needed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may vote “FOR” each nominee or “WITHHOLD” to vote for each nominee. Unless you mark “WITHHOLD” with respect to a particular nominee or nominees, your proxy will be voted “FOR” each of the director nominees named in this proxy statement. In an uncontested election, a nominee will be elected as a director if the number of “FOR” votes exceeds the number of votes withholding authority. In a contested election, a nominee will be elected director if he receives more votes than another nominee. Thus, the five (5) directors with the most votes “FOR” will be elected to the Board. Broker non-votes and withheld votes will not affect the outcome of the vote on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many votes are needed to approve the other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meeting and entitled to vote is required to approve the election of the Board of Directors, an amendment to the Certificate of Incorporation, an amendment to the 2022 Plan, and ratify the appointment of our independent registered public accounting firm and approve the adjournment of the Annual Meeting. Abstentions will be treated as votes against these proposals. Brokerage firms have authority to vote customers’ unvoted shares held by the firms in street name on the ratification of the appointment of our independent registered public accounting firm and approval of the adjournment of the Annual Meeting. If a broker does not exercise this authority, such broker non-votes will have no effect on the results of this vote. Brokerage firms do not have authority to vote customers’ unvoted shares held by the firms in street name on the approval of the election of directors of the current Board of Directors, approval of an amendment to the 2022 Plan, approval of the amendment to the Certificate of Incorporation and approval to obtain the approval of our stockholders to appoint our independent registered public accounting firm. However, if our stockholders do not ratify the appointment of RBSM LLP as our independent registered public accounting firm for the fiscal year ending December 31, 2026, the audit committee of our Board will reconsider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Is voting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keep all the proxies, ballots and voting tabulations private. We only let our Inspectors of Election, representatives of Equity Stock Transfer, examine these documents. Management will not know how you voted on a specific proposal unless it is necessary to meet legal requirements. We will, however, forward to management any written comments you make on the proxy card or that you otherwise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will the Company announce the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may announce preliminary voting results after the adjournment of the Annual Meeting and will announce the final voting results of the Annual Meeting on a Current Report on Form 8-K filed with the SEC within four business days after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Do any directors or officers of the Company have a personal interest in the matter to be acted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Except for those directors who are nominated for election at the Annual Meeting, no officer or director has any substantial interest, direct or indirect, by security holdings or otherwise in all proposals voted on in Proposal 2, Proposal 3, Proposal 4 and Proposal 5 that is not shared by all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if other matters are presented for consideration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knows of no other matters to be submitted to the stockholders at the Annual Meeting, other than those described herein. If other matters do arise, the Board has made no recommendation as to how the proxies will vote on such other matters. If any other matters properly come before the stockholders at the Annual Meeting, it is the intention of the persons named on the proxy card as proxies to vote the shares represented thereby on such matters in their discretion and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Whom do I call if I have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have any questions, need additional material, or need assistance in voting your shares, please feel free to contact InvestorComLLC at (877) 972-0090.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MATTERS REQUIRING STOCKHOLDER 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 (Item 1 on the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five (5) nominees recommended by the Nominating and Corporate Governance Committee of the Board (the “Nominating and Corporate Governance Committee”) for election this year to hold office until the 2027 Annual Meeting of the Stockholders and until their respective successors are elected and qualified. Our Board has nominated: (i) Geoffrey Dow; (ii) Eric Francois; (iii) Cheryl Xu; (vi) Stephen Toovey; and (v) Paul Field and our management has no reason to believe that any nominee will be unable to serve. The biographies of each of the nominees contains information regarding the person’s service as a director, business experience, public-company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and the Board to determine that the person should serve as a director for the Company. In addition to the information presented above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60 Degrees Pharmaceuticals and our Board. Finally, we value their significant experience on other public company boards of directors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nominee will be elected as a director if he receives a plurality of the votes cast, in person or by proxy, at the Annual Meeting. This means that the nominees for election as director who receive the highest number of affirmative votes at the Annual Meeting will be elected as director. Withheld votes and broker non-votes will have no effect on the outcome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instructed, the proxy holders will vote the proxies received by them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nominees named above. If any nominee becomes unavailable for election as a result of an unexpected occurrence, shares that would have been voted for that nominee will instead be voted for the election of a substitute nominee proposed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the election of all of these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3"/>
        <w:gridCol w:w="60"/>
        <w:gridCol w:w="350"/>
        <w:gridCol w:w="60"/>
        <w:gridCol w:w="2904"/>
        <w:gridCol w:w="60"/>
        <w:gridCol w:w="1001"/>
        <w:gridCol w:w="60"/>
        <w:gridCol w:w="4547"/>
      </w:tblGrid>
      <w:tr>
        <w:trPr/>
        <w:tc>
          <w:tcPr>
            <w:tcW w:w="1163" w:type="dxa"/>
            <w:tcBorders>
              <w:bottom w:val="single" w:sz="12" w:space="0" w:color="000000"/>
            </w:tcBorders>
            <w:vAlign w:val="center"/>
          </w:tcPr>
          <w:p>
            <w:pPr>
              <w:pStyle w:val="TableContents"/>
              <w:bidi w:val="0"/>
              <w:spacing w:before="0" w:after="283"/>
              <w:jc w:val="left"/>
              <w:rPr>
                <w:b/>
                <w:sz w:val="20"/>
              </w:rPr>
            </w:pPr>
            <w:r>
              <w:rPr>
                <w:b/>
                <w:sz w:val="20"/>
              </w:rPr>
              <w:t>Name</w:t>
            </w:r>
            <w:r>
              <w:rPr>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center"/>
              <w:rPr/>
            </w:pPr>
            <w:r>
              <w:rPr/>
              <w:t> </w:t>
            </w:r>
          </w:p>
        </w:tc>
        <w:tc>
          <w:tcPr>
            <w:tcW w:w="2904" w:type="dxa"/>
            <w:tcBorders>
              <w:bottom w:val="single" w:sz="12" w:space="0" w:color="000000"/>
            </w:tcBorders>
            <w:vAlign w:val="center"/>
          </w:tcPr>
          <w:p>
            <w:pPr>
              <w:pStyle w:val="TableContents"/>
              <w:bidi w:val="0"/>
              <w:spacing w:before="0" w:after="283"/>
              <w:jc w:val="center"/>
              <w:rPr>
                <w:b/>
                <w:sz w:val="20"/>
              </w:rPr>
            </w:pPr>
            <w:r>
              <w:rPr>
                <w:b/>
                <w:sz w:val="20"/>
              </w:rPr>
              <w:t>Position</w:t>
            </w:r>
          </w:p>
        </w:tc>
        <w:tc>
          <w:tcPr>
            <w:tcW w:w="60" w:type="dxa"/>
            <w:tcBorders/>
            <w:tcMar>
              <w:bottom w:w="0" w:type="dxa"/>
            </w:tcMar>
            <w:vAlign w:val="center"/>
          </w:tcPr>
          <w:p>
            <w:pPr>
              <w:pStyle w:val="TableContents"/>
              <w:bidi w:val="0"/>
              <w:spacing w:before="0" w:after="283"/>
              <w:jc w:val="center"/>
              <w:rPr/>
            </w:pPr>
            <w:r>
              <w:rPr/>
              <w:t> </w:t>
            </w:r>
          </w:p>
        </w:tc>
        <w:tc>
          <w:tcPr>
            <w:tcW w:w="1001" w:type="dxa"/>
            <w:tcBorders>
              <w:bottom w:val="single" w:sz="12" w:space="0" w:color="000000"/>
            </w:tcBorders>
            <w:vAlign w:val="center"/>
          </w:tcPr>
          <w:p>
            <w:pPr>
              <w:pStyle w:val="TableContents"/>
              <w:bidi w:val="0"/>
              <w:spacing w:before="0" w:after="283"/>
              <w:jc w:val="center"/>
              <w:rPr>
                <w:b/>
                <w:sz w:val="20"/>
              </w:rPr>
            </w:pPr>
            <w:r>
              <w:rPr>
                <w:b/>
                <w:sz w:val="20"/>
              </w:rPr>
              <w:t>Director</w:t>
              <w:br/>
              <w:t>Since</w:t>
            </w:r>
          </w:p>
        </w:tc>
        <w:tc>
          <w:tcPr>
            <w:tcW w:w="60" w:type="dxa"/>
            <w:tcBorders/>
            <w:tcMar>
              <w:bottom w:w="0" w:type="dxa"/>
            </w:tcMar>
            <w:vAlign w:val="center"/>
          </w:tcPr>
          <w:p>
            <w:pPr>
              <w:pStyle w:val="TableContents"/>
              <w:bidi w:val="0"/>
              <w:spacing w:before="0" w:after="283"/>
              <w:jc w:val="center"/>
              <w:rPr/>
            </w:pPr>
            <w:r>
              <w:rPr/>
              <w:t> </w:t>
            </w:r>
          </w:p>
        </w:tc>
        <w:tc>
          <w:tcPr>
            <w:tcW w:w="4547" w:type="dxa"/>
            <w:tcBorders>
              <w:bottom w:val="single" w:sz="12" w:space="0" w:color="000000"/>
            </w:tcBorders>
            <w:vAlign w:val="center"/>
          </w:tcPr>
          <w:p>
            <w:pPr>
              <w:pStyle w:val="TableContents"/>
              <w:bidi w:val="0"/>
              <w:spacing w:before="0" w:after="283"/>
              <w:jc w:val="center"/>
              <w:rPr>
                <w:b/>
                <w:sz w:val="20"/>
              </w:rPr>
            </w:pPr>
            <w:r>
              <w:rPr>
                <w:b/>
                <w:sz w:val="20"/>
              </w:rPr>
              <w:t>Board Committee</w:t>
            </w:r>
          </w:p>
        </w:tc>
      </w:tr>
      <w:tr>
        <w:trPr/>
        <w:tc>
          <w:tcPr>
            <w:tcW w:w="1163" w:type="dxa"/>
            <w:tcBorders/>
            <w:shd w:fill="CCEEFF" w:val="clear"/>
            <w:tcMar>
              <w:bottom w:w="0" w:type="dxa"/>
            </w:tcMar>
            <w:vAlign w:val="center"/>
          </w:tcPr>
          <w:p>
            <w:pPr>
              <w:pStyle w:val="TableContents"/>
              <w:bidi w:val="0"/>
              <w:spacing w:before="0" w:after="283"/>
              <w:jc w:val="left"/>
              <w:rPr>
                <w:sz w:val="20"/>
              </w:rPr>
            </w:pPr>
            <w:r>
              <w:rPr>
                <w:sz w:val="20"/>
              </w:rPr>
              <w:t>Geoffrey Dow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4" w:type="dxa"/>
            <w:tcBorders/>
            <w:shd w:fill="CCEEFF" w:val="clear"/>
            <w:tcMar>
              <w:bottom w:w="0" w:type="dxa"/>
            </w:tcMar>
            <w:vAlign w:val="center"/>
          </w:tcPr>
          <w:p>
            <w:pPr>
              <w:pStyle w:val="TableContents"/>
              <w:bidi w:val="0"/>
              <w:spacing w:before="0" w:after="283"/>
              <w:jc w:val="center"/>
              <w:rPr>
                <w:sz w:val="20"/>
              </w:rPr>
            </w:pPr>
            <w:r>
              <w:rPr>
                <w:sz w:val="20"/>
              </w:rPr>
              <w:t>Chief Executive Officer, President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center"/>
              <w:rPr>
                <w:sz w:val="20"/>
              </w:rPr>
            </w:pPr>
            <w:r>
              <w:rPr>
                <w:sz w:val="20"/>
              </w:rPr>
              <w:t>June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47"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163" w:type="dxa"/>
            <w:tcBorders/>
            <w:tcMar>
              <w:bottom w:w="0" w:type="dxa"/>
            </w:tcMar>
            <w:vAlign w:val="center"/>
          </w:tcPr>
          <w:p>
            <w:pPr>
              <w:pStyle w:val="TableContents"/>
              <w:bidi w:val="0"/>
              <w:spacing w:before="0" w:after="283"/>
              <w:jc w:val="left"/>
              <w:rPr>
                <w:sz w:val="20"/>
              </w:rPr>
            </w:pPr>
            <w:r>
              <w:rPr>
                <w:sz w:val="20"/>
              </w:rPr>
              <w:t>Tyrone Miller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52</w:t>
            </w:r>
          </w:p>
        </w:tc>
        <w:tc>
          <w:tcPr>
            <w:tcW w:w="60" w:type="dxa"/>
            <w:tcBorders/>
            <w:tcMar>
              <w:bottom w:w="0" w:type="dxa"/>
            </w:tcMar>
            <w:vAlign w:val="center"/>
          </w:tcPr>
          <w:p>
            <w:pPr>
              <w:pStyle w:val="TableContents"/>
              <w:bidi w:val="0"/>
              <w:spacing w:before="0" w:after="283"/>
              <w:jc w:val="left"/>
              <w:rPr/>
            </w:pPr>
            <w:r>
              <w:rPr/>
              <w:t> </w:t>
            </w:r>
          </w:p>
        </w:tc>
        <w:tc>
          <w:tcPr>
            <w:tcW w:w="2904"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547" w:type="dxa"/>
            <w:tcBorders/>
            <w:tcMar>
              <w:bottom w:w="0" w:type="dxa"/>
            </w:tcMar>
            <w:vAlign w:val="center"/>
          </w:tcPr>
          <w:p>
            <w:pPr>
              <w:pStyle w:val="TableContents"/>
              <w:bidi w:val="0"/>
              <w:spacing w:before="0" w:after="283"/>
              <w:jc w:val="center"/>
              <w:rPr>
                <w:sz w:val="20"/>
              </w:rPr>
            </w:pPr>
            <w:r>
              <w:rPr>
                <w:sz w:val="20"/>
              </w:rPr>
              <w:t>N/A</w:t>
            </w:r>
          </w:p>
        </w:tc>
      </w:tr>
      <w:tr>
        <w:trPr/>
        <w:tc>
          <w:tcPr>
            <w:tcW w:w="1163" w:type="dxa"/>
            <w:tcBorders/>
            <w:shd w:fill="CCEEFF" w:val="clear"/>
            <w:tcMar>
              <w:bottom w:w="0" w:type="dxa"/>
            </w:tcMar>
            <w:vAlign w:val="center"/>
          </w:tcPr>
          <w:p>
            <w:pPr>
              <w:pStyle w:val="TableContents"/>
              <w:bidi w:val="0"/>
              <w:spacing w:before="0" w:after="283"/>
              <w:jc w:val="left"/>
              <w:rPr>
                <w:sz w:val="20"/>
              </w:rPr>
            </w:pPr>
            <w:r>
              <w:rPr>
                <w:sz w:val="20"/>
              </w:rPr>
              <w:t>Kristen Landon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4" w:type="dxa"/>
            <w:tcBorders/>
            <w:shd w:fill="CCEEFF" w:val="clear"/>
            <w:tcMar>
              <w:bottom w:w="0" w:type="dxa"/>
            </w:tcMar>
            <w:vAlign w:val="center"/>
          </w:tcPr>
          <w:p>
            <w:pPr>
              <w:pStyle w:val="TableContents"/>
              <w:bidi w:val="0"/>
              <w:spacing w:before="0" w:after="283"/>
              <w:jc w:val="center"/>
              <w:rPr>
                <w:sz w:val="20"/>
              </w:rPr>
            </w:pPr>
            <w:r>
              <w:rPr>
                <w:sz w:val="20"/>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47"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1163" w:type="dxa"/>
            <w:tcBorders/>
            <w:tcMar>
              <w:bottom w:w="0" w:type="dxa"/>
            </w:tcMar>
            <w:vAlign w:val="center"/>
          </w:tcPr>
          <w:p>
            <w:pPr>
              <w:pStyle w:val="TableContents"/>
              <w:bidi w:val="0"/>
              <w:spacing w:before="0" w:after="283"/>
              <w:jc w:val="left"/>
              <w:rPr>
                <w:sz w:val="20"/>
              </w:rPr>
            </w:pPr>
            <w:r>
              <w:rPr>
                <w:sz w:val="20"/>
              </w:rPr>
              <w:t>Eric Francois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51</w:t>
            </w:r>
          </w:p>
        </w:tc>
        <w:tc>
          <w:tcPr>
            <w:tcW w:w="60" w:type="dxa"/>
            <w:tcBorders/>
            <w:tcMar>
              <w:bottom w:w="0" w:type="dxa"/>
            </w:tcMar>
            <w:vAlign w:val="center"/>
          </w:tcPr>
          <w:p>
            <w:pPr>
              <w:pStyle w:val="TableContents"/>
              <w:bidi w:val="0"/>
              <w:spacing w:before="0" w:after="283"/>
              <w:jc w:val="left"/>
              <w:rPr/>
            </w:pPr>
            <w:r>
              <w:rPr/>
              <w:t> </w:t>
            </w:r>
          </w:p>
        </w:tc>
        <w:tc>
          <w:tcPr>
            <w:tcW w:w="2904"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center"/>
              <w:rPr>
                <w:sz w:val="20"/>
              </w:rPr>
            </w:pPr>
            <w:r>
              <w:rPr>
                <w:sz w:val="20"/>
              </w:rPr>
              <w:t>TBD</w:t>
            </w:r>
          </w:p>
        </w:tc>
        <w:tc>
          <w:tcPr>
            <w:tcW w:w="60" w:type="dxa"/>
            <w:tcBorders/>
            <w:tcMar>
              <w:bottom w:w="0" w:type="dxa"/>
            </w:tcMar>
            <w:vAlign w:val="center"/>
          </w:tcPr>
          <w:p>
            <w:pPr>
              <w:pStyle w:val="TableContents"/>
              <w:bidi w:val="0"/>
              <w:spacing w:before="0" w:after="283"/>
              <w:jc w:val="left"/>
              <w:rPr/>
            </w:pPr>
            <w:r>
              <w:rPr/>
              <w:t> </w:t>
            </w:r>
          </w:p>
        </w:tc>
        <w:tc>
          <w:tcPr>
            <w:tcW w:w="4547" w:type="dxa"/>
            <w:tcBorders/>
            <w:tcMar>
              <w:bottom w:w="0" w:type="dxa"/>
            </w:tcMar>
            <w:vAlign w:val="center"/>
          </w:tcPr>
          <w:p>
            <w:pPr>
              <w:pStyle w:val="TableContents"/>
              <w:bidi w:val="0"/>
              <w:spacing w:before="0" w:after="283"/>
              <w:jc w:val="center"/>
              <w:rPr>
                <w:sz w:val="20"/>
              </w:rPr>
            </w:pPr>
            <w:r>
              <w:rPr>
                <w:sz w:val="20"/>
              </w:rPr>
              <w:t>Audit – Chairman; Compensation; Nominating and Corporate Governance.</w:t>
            </w:r>
          </w:p>
        </w:tc>
      </w:tr>
      <w:tr>
        <w:trPr/>
        <w:tc>
          <w:tcPr>
            <w:tcW w:w="1163" w:type="dxa"/>
            <w:tcBorders/>
            <w:shd w:fill="CCEEFF" w:val="clear"/>
            <w:tcMar>
              <w:bottom w:w="0" w:type="dxa"/>
            </w:tcMar>
            <w:vAlign w:val="center"/>
          </w:tcPr>
          <w:p>
            <w:pPr>
              <w:pStyle w:val="TableContents"/>
              <w:bidi w:val="0"/>
              <w:spacing w:before="0" w:after="283"/>
              <w:jc w:val="left"/>
              <w:rPr>
                <w:sz w:val="20"/>
              </w:rPr>
            </w:pPr>
            <w:r>
              <w:rPr>
                <w:sz w:val="20"/>
              </w:rPr>
              <w:t>Cheryl Xu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4" w:type="dxa"/>
            <w:tcBorders/>
            <w:shd w:fill="CCEE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center"/>
              <w:rPr>
                <w:sz w:val="20"/>
              </w:rPr>
            </w:pPr>
            <w:r>
              <w:rPr>
                <w:sz w:val="20"/>
              </w:rPr>
              <w:t>July 12,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47"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163" w:type="dxa"/>
            <w:tcBorders/>
            <w:tcMar>
              <w:bottom w:w="0" w:type="dxa"/>
            </w:tcMar>
            <w:vAlign w:val="center"/>
          </w:tcPr>
          <w:p>
            <w:pPr>
              <w:pStyle w:val="TableContents"/>
              <w:bidi w:val="0"/>
              <w:spacing w:before="0" w:after="283"/>
              <w:jc w:val="left"/>
              <w:rPr>
                <w:sz w:val="20"/>
              </w:rPr>
            </w:pPr>
            <w:r>
              <w:rPr>
                <w:sz w:val="20"/>
              </w:rPr>
              <w:t>Stephen Toovey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72</w:t>
            </w:r>
          </w:p>
        </w:tc>
        <w:tc>
          <w:tcPr>
            <w:tcW w:w="60" w:type="dxa"/>
            <w:tcBorders/>
            <w:tcMar>
              <w:bottom w:w="0" w:type="dxa"/>
            </w:tcMar>
            <w:vAlign w:val="center"/>
          </w:tcPr>
          <w:p>
            <w:pPr>
              <w:pStyle w:val="TableContents"/>
              <w:bidi w:val="0"/>
              <w:spacing w:before="0" w:after="283"/>
              <w:jc w:val="left"/>
              <w:rPr/>
            </w:pPr>
            <w:r>
              <w:rPr/>
              <w:t> </w:t>
            </w:r>
          </w:p>
        </w:tc>
        <w:tc>
          <w:tcPr>
            <w:tcW w:w="2904"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center"/>
              <w:rPr>
                <w:sz w:val="20"/>
              </w:rPr>
            </w:pPr>
            <w:r>
              <w:rPr>
                <w:sz w:val="20"/>
              </w:rPr>
              <w:t>July 12, 2023</w:t>
            </w:r>
          </w:p>
        </w:tc>
        <w:tc>
          <w:tcPr>
            <w:tcW w:w="60" w:type="dxa"/>
            <w:tcBorders/>
            <w:tcMar>
              <w:bottom w:w="0" w:type="dxa"/>
            </w:tcMar>
            <w:vAlign w:val="center"/>
          </w:tcPr>
          <w:p>
            <w:pPr>
              <w:pStyle w:val="TableContents"/>
              <w:bidi w:val="0"/>
              <w:spacing w:before="0" w:after="283"/>
              <w:jc w:val="left"/>
              <w:rPr/>
            </w:pPr>
            <w:r>
              <w:rPr/>
              <w:t> </w:t>
            </w:r>
          </w:p>
        </w:tc>
        <w:tc>
          <w:tcPr>
            <w:tcW w:w="4547" w:type="dxa"/>
            <w:tcBorders/>
            <w:tcMar>
              <w:bottom w:w="0" w:type="dxa"/>
            </w:tcMar>
            <w:vAlign w:val="center"/>
          </w:tcPr>
          <w:p>
            <w:pPr>
              <w:pStyle w:val="TableContents"/>
              <w:bidi w:val="0"/>
              <w:spacing w:before="0" w:after="283"/>
              <w:jc w:val="center"/>
              <w:rPr>
                <w:sz w:val="20"/>
              </w:rPr>
            </w:pPr>
            <w:r>
              <w:rPr>
                <w:sz w:val="20"/>
              </w:rPr>
              <w:t xml:space="preserve">Nominating and Corporate Governance – Chairman; Compensation; Audit. </w:t>
            </w:r>
          </w:p>
        </w:tc>
      </w:tr>
      <w:tr>
        <w:trPr/>
        <w:tc>
          <w:tcPr>
            <w:tcW w:w="1163" w:type="dxa"/>
            <w:tcBorders/>
            <w:shd w:fill="CCEEFF" w:val="clear"/>
            <w:tcMar>
              <w:bottom w:w="0" w:type="dxa"/>
            </w:tcMar>
            <w:vAlign w:val="center"/>
          </w:tcPr>
          <w:p>
            <w:pPr>
              <w:pStyle w:val="TableContents"/>
              <w:bidi w:val="0"/>
              <w:spacing w:before="0" w:after="283"/>
              <w:jc w:val="left"/>
              <w:rPr>
                <w:sz w:val="20"/>
              </w:rPr>
            </w:pPr>
            <w:r>
              <w:rPr>
                <w:sz w:val="20"/>
              </w:rPr>
              <w:t>Paul Field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4" w:type="dxa"/>
            <w:tcBorders/>
            <w:shd w:fill="CCEE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center"/>
              <w:rPr>
                <w:sz w:val="20"/>
              </w:rPr>
            </w:pPr>
            <w:r>
              <w:rPr>
                <w:sz w:val="20"/>
              </w:rPr>
              <w:t>July 12,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47" w:type="dxa"/>
            <w:tcBorders/>
            <w:shd w:fill="CCEEFF" w:val="clear"/>
            <w:tcMar>
              <w:bottom w:w="0" w:type="dxa"/>
            </w:tcMar>
            <w:vAlign w:val="center"/>
          </w:tcPr>
          <w:p>
            <w:pPr>
              <w:pStyle w:val="TableContents"/>
              <w:bidi w:val="0"/>
              <w:spacing w:before="0" w:after="283"/>
              <w:jc w:val="center"/>
              <w:rPr>
                <w:sz w:val="20"/>
              </w:rPr>
            </w:pPr>
            <w:r>
              <w:rPr>
                <w:sz w:val="20"/>
              </w:rPr>
              <w:t>Compensation – Chairman; Audit; Nominating and Corporate Governance.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Geoffrey Dow </w:t>
      </w:r>
      <w:r>
        <w:rPr>
          <w:rFonts w:ascii="Times New Roman;Times;Serif" w:hAnsi="Times New Roman;Times;Serif"/>
          <w:b w:val="false"/>
          <w:i w:val="false"/>
          <w:caps w:val="false"/>
          <w:smallCaps w:val="false"/>
          <w:sz w:val="20"/>
        </w:rPr>
        <w:t>is our Chief Executive Officer, President, and is also one of our directors. Dr. Dow has over 20 years of product development experience in tropical diseases and has an extensive publication and patent history. His decades of hands-on experience include 13 years in key leadership and advisory roles in the antimalarial drug development program at the Walter Reed Army Institute of Research and at the U.S. Army Medical Materiel Development Activity. Dr. Dow co-founded 60P in 2010. Since then, he has been involved in various projects, including leading the project development team in securing FDA-regulatory approval for Tafenoquine (as Arakoda) for malaria prophylaxis, securing a supply chain and access relating to Arakoda, managing post-marketing regulatory commitments, ensuring the successful prosecution of supporting patents on which Dr. Dow was an inventor, and ensuring the company adheres to GMP, quality, and pharmacovigilance requirements. Dr. Dow has also published a number of important safety reviews, clinical trials, non-clinical studies, on which he was a thought leader or contributor, which dispelled many of the myths about 8-aminoquinolines. As a scientist, experienced industry project manager and inventor, Dr. Dow’s ultimate goal is to develop and secure the regulatory approval and commercial success of products, old and new, for new indications in infectious disease. Dr. Dow received a B.Sc. (Hons) in Veterinary and Biomedical Science from Murdoch University, Perth, Western Australia (“Murdoch”) in 1994, a Ph.D. in Veterinary and Biomedical Science from Murdoch in 2000 and an MBA from the University of Maryland at College Park in 2012. We believe that Mr. Dow is well qualified to serve as a Director given his product development experience in tropical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Tyrone Miller </w:t>
      </w:r>
      <w:r>
        <w:rPr>
          <w:rFonts w:ascii="Times New Roman;Times;Serif" w:hAnsi="Times New Roman;Times;Serif"/>
          <w:b w:val="false"/>
          <w:i w:val="false"/>
          <w:caps w:val="false"/>
          <w:smallCaps w:val="false"/>
          <w:sz w:val="20"/>
        </w:rPr>
        <w:t>is our Chief Financial Officer. Mr. Miller joined us in 2014 and has held a number of roles since then, including Treasurer. He worked with the founder and Chief Executive Officer of 60P and raised over $6 million in external financing. Mr. Miller also established a multinational financial reporting system and worked with consultants in designing tax and credit strategies. He also provides key strategic advice in areas of financing and business planning to 60P. In addition, he is the founder and Principal of Tax &amp; Accounting Practice at Miller Tax &amp; Advisory since 2011. In that role, Mr. Miller advises owners of closely held businesses on accounting, financial and tax matters and has designed accounting systems for private sector businesses. From 2002 to 2011, he was a Senior Accountant at Sachs Figurelli, LLC, where he prepared and processed corporate and individual tax returns, consulted on reengineering accounting processes for construction, restaurant and professional services businesses and managed staff in preparation and processing of payroll and personal property returns. Mr. Miller is currently a Certified Public Accountant. He received a Bachelor’s of Business Administration with a concentration in International Business from Emory University in 1996.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Kristen Landon </w:t>
      </w:r>
      <w:r>
        <w:rPr>
          <w:rFonts w:ascii="Times New Roman;Times;Serif" w:hAnsi="Times New Roman;Times;Serif"/>
          <w:b w:val="false"/>
          <w:i w:val="false"/>
          <w:caps w:val="false"/>
          <w:smallCaps w:val="false"/>
          <w:sz w:val="20"/>
        </w:rPr>
        <w:t>is our Chief Commercial Officer. Ms. Landon joined us in 2024 and brings over 26 years’ experience building and transforming pharmaceutical brands in both start-up and large multinational companies. Ms. Landon has launched and relaunched over a dozen brands, many with peak revenues in excess of $100 million across therapeutic categories including women’s health, infectious disease, dermatology, nephrology, and hematology/oncology. Most recently, Ms. Landon served as Senior Vice President of Marketing and Communications at TherapeuticsMD with responsibility for the branded portfolio, marketing insights, and corporate communications. Prior commercial leadership roles include VP Marketing at Radius Health, VP Marketing at Sprout Pharmaceuticals (acquired by Valeant), Executive Director Women’s Health at Actavis Plc, and positions of increasing responsibility in sales and marketing at Forest Labs, Abbott Labs, and Novartis. Ms. Landon holds an MBA from Silberman College of Business at Fairleigh Dickinson University, and a Bachelor’s degree from Kean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Eric Francois </w:t>
      </w:r>
      <w:r>
        <w:rPr>
          <w:rFonts w:ascii="Times New Roman;Times;Serif" w:hAnsi="Times New Roman;Times;Serif"/>
          <w:b w:val="false"/>
          <w:i w:val="false"/>
          <w:caps w:val="false"/>
          <w:smallCaps w:val="false"/>
          <w:sz w:val="20"/>
        </w:rPr>
        <w:t>Eric Francois will become a Director of the company and our Audit Chair as of the date of this meeting if approved by shareholders. Eric Francois is a strategic financial executive with over 20 years of leadership experience in the healthcare and life sciences sectors. He currently serves as an Independent Director of CERo Therapeutics, Inc. (OTCQB: CERO) and as an independent strategic advisor to emerging life sciences companies. Mr. Francois previously served as Managing Director in Healthcare Investment Banking at Raymond James and Credit Suisse, where he led numerous equity, debt, and M&amp;A transactions for small- and mid-cap biotechnology companies. Prior to his investment banking roles, he was Chief Financial Officer of SCYNEXIS, Inc. (Nasdaq: SCYX), where he oversaw finance, corporate development, investor relations, and operations, and raised over $300 million in capital to support the company’s growth through FDA approval and commercial launch. He has also served as an independent director of Diffusion Pharmaceuticals Inc. (Nasdaq: DFFN), including roles on its Audit and Compensation Committees. Mr. Francois began his career in equity capital markets at Cowen &amp; Company and Lazard Frères and holds M.A. and B.A. degrees in business and economics from the Sorbonne University in Paris. The Board concluded that Mr. Francois experience as an investment banker, NASDAQ microcap biotech CFO, and general experience in the pharma industry qualify him to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Charles Allen </w:t>
      </w:r>
      <w:r>
        <w:rPr>
          <w:rFonts w:ascii="Times New Roman;Times;Serif" w:hAnsi="Times New Roman;Times;Serif"/>
          <w:b w:val="false"/>
          <w:i w:val="false"/>
          <w:caps w:val="false"/>
          <w:smallCaps w:val="false"/>
          <w:sz w:val="20"/>
        </w:rPr>
        <w:t>has been one of our directors since July 11, 2023 and will exit his Board role on the date of this meeting. Since February 5, 2014, he has served as the Chief Executive Officer of BTCS Inc. (“BTCS”) and the Chairman of the Board of BTCS since September 11, 2014. Mr. Allen is responsible for BTCS’ overall corporate strategy and direction. Since December 2, 2022, Mr. Allen has been a director of Innovation1 Biotech Inc. Since January 12, 2018, Mr. Allen has been the Chief Executive Officer of Global Bit Ventures Inc. (“GBV”). Since October 10, 2017, Mr. Allen has been a director of GBV. Mr. Allen has extensive experience in business strategy and structuring and executing a variety of investment banking and capital markets transactions, including financings, initial public offerings, and mergers and acquisitions. Prior to his work in the blockchain industry at BTCS, he worked domestically and internationally on projects in technology, media, natural resources, logistics, medical services, and financial services. He has served as a managing director at numerous boutique investment banks focused on advising and raising capital for small and mid-size companies. Mr. Allen received a Bachelor of Science in Mechanical Engineering from Lehigh University and a Master of Business Administration from the Mason School of Business at the College of William &amp; Mary. The Board concluded that Mr. Allen’s background and leadership experiences in the financial industry qualify him to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Cheryl Xu</w:t>
      </w:r>
      <w:r>
        <w:rPr>
          <w:rFonts w:ascii="Times New Roman;Times;Serif" w:hAnsi="Times New Roman;Times;Serif"/>
          <w:b w:val="false"/>
          <w:i w:val="false"/>
          <w:caps w:val="false"/>
          <w:smallCaps w:val="false"/>
          <w:sz w:val="20"/>
        </w:rPr>
        <w:t xml:space="preserve"> is one of our directors since July 11, 2023 and until recently served as Biogen’s Vice President, Public Policy &amp; Government Affairs since 2020. Ms. Xu was PhRMA’s first Representative to China. Subsequently she started a consulting business in 2005, advising well-known multinational companies such as Pfizer, J&amp;J and UnitedHealth Group on their market access and expansion strategies in China. Cheryl has provided consultations to both the U.S. and Chinese governments on pharmaceutical policies including strengthening of IP protection and monitoring system for China’s API exports. Prior to that, she was the Director of International Finance at Pharmacia based in New Jersey from 1998 to 2003. Ms. Xu received her Bachelor of Science degree in Physics from Peking University, and Master of Business Administration in Finance from Washington University in St. Louis. The Board concluded that Ms. Xu’s background and leadership experiences in the pharmaceutical industry qualify her to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Stephen Toovey</w:t>
      </w:r>
      <w:r>
        <w:rPr>
          <w:rFonts w:ascii="Times New Roman;Times;Serif" w:hAnsi="Times New Roman;Times;Serif"/>
          <w:b w:val="false"/>
          <w:i w:val="false"/>
          <w:caps w:val="false"/>
          <w:smallCaps w:val="false"/>
          <w:sz w:val="20"/>
        </w:rPr>
        <w:t xml:space="preserve"> is one of our directors since July 11, 2023 and is an infectious and tropical disease physician. Dr. Toovey has worked in the pharmaceutical industry and academia in both developed and developing countries, and currently specializes in the research of influenza and other respiratory viruses, malaria, rabies and the neurological aspects of infectious diseases. He is currently the Chief Executive Officer of Pegasus, a medical and scientific services company and has held that position since 2008. Dr. Toovey also advises a number of pharmaceutical companies and biotech organizations on infection and immunology related matters, from translation through Phase IV, and founded numerous pharmaceutical and pharma-related companies, with the most recent being the co-founding of Ark Biosciences in 2014. Dr. Toovey served as Chief Medical Officer of Ark Biosciences from 2014 until 2020. In addition, he held a teaching and clinical post at the Royal Free and University College Medical School in London, United Kingdom, Academic Centre for Travel Medicine and Vaccines, World Health Organization Collaborating Center, appointed in 2008. He has been editor of the journal Travel Medicine and Infectious Disease since its foundation in 2003. Dr. Toovey has authored over 100 publications in peer reviewed medical journals, contributed to a number of textbooks and has presented at over 50 scientific meetings. Dr. Toovey received his PhD from the University of Ghent. The Board concluded that Dr. Toovey’s background and leadership experiences in the pharmaceutical industry and academia qualify him to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 Field</w:t>
      </w:r>
      <w:r>
        <w:rPr>
          <w:rFonts w:ascii="Times New Roman;Times;Serif" w:hAnsi="Times New Roman;Times;Serif"/>
          <w:b w:val="false"/>
          <w:i w:val="false"/>
          <w:caps w:val="false"/>
          <w:smallCaps w:val="false"/>
          <w:sz w:val="20"/>
        </w:rPr>
        <w:t xml:space="preserve"> is one of our directors since July 11, 2023. Paul has over 30 years of business development experience across a range of disease areas, and a deep network in the global biopharmaceutical industry. He is currently a corporate advisor at Imunexus since 2020, Marinova since 2018, and GARDP (Switzerland) since 2018. He was until recently the Australian representative of FIND (Switzerland) from 2018 to 2021 and a business development advisor to the drug discovery company Biocurate from 2018 to 2020. Paul was previously the life sciences specialist at Austrade from 2014 to 2018, the Australian Government’s investment promotion agency, where he facilitated foreign direct investment into Australian research in neglected tropical diseases, infectious diseases, autoimmune diseases, cancer and other therapeutic areas. Paul was the founder and Executive Chairman of Bio-Link from 2005 to 2014, a privately owned biotechnology business development company. His work at Bio-Link involved the commercialization of discovery, pre-clinical and early-stage clinical programs undertaken by Australian biotech companies and medical research institutions. Paul has served on a number of Boards of Directors, and he is a Fellow of the Australian Institute of Company Directors. The Board concluded that Mr. Field’s background and leadership experiences in the biotechnology industry qualify him to be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have, during the past ten years, been involved in any legal proceedings described in subparagraph (f) of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affairs of 60 Degrees Pharmaceuticals are managed under the direction of the Board. The Board believes that good corporate governance is a critical factor in achieving business success and in fulfilling the Board’s responsibilities to the Company’s stockholders. The Board believes that its practices align management and stockholder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Governance section of the Company website makes available the Company’s corporate governance materials, including the Certificate of Incorporation, as corrected, as of the date of this Proxy Statement, and bylaws, the charters for each Board committee, the Company’s Code of Conduct and information about how to report concerns about the Company. To access these documents on the Company’s website, please visit </w:t>
      </w:r>
      <w:r>
        <w:rPr>
          <w:rFonts w:ascii="Times New Roman;Times;Serif" w:hAnsi="Times New Roman;Times;Serif"/>
          <w:b w:val="false"/>
          <w:i/>
          <w:caps w:val="false"/>
          <w:smallCaps w:val="false"/>
          <w:sz w:val="20"/>
        </w:rPr>
        <w:t>https://60degreespharma.com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Composition/Election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presently consists of five (5) directors whose terms expire at this Annual Meeting. Our directors are elected annually. Four of the nominated directors have served on the Board since the effective date of the Company’s registration statement for its initial public offering in July 2023. A fifth, Eric Francois, will join the Board as of the date of this meeting if approved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number of directors at five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more detail later in this section, the Board has determined that three (3) of the five (5) individuals standing for election are independent under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a total of six times during fiscal year 2025 in person or via video or teleconference and acted by unanimous written consent on twelve occasions. Each of the directors who served fiscal year 2025 attended all meetings of the Board, except for one Director on one occasion. Attendance for meetings of the Board committees was at least 67%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Selection of Nominees for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considers candidates for Board membership suggested by its members and other Board members, as well as management and stockholders. The Nominating and Corporate Governance Committee’s charter provides that it may retain a third-party executive search firm to identify candidates from time to time. Our Board seeks members from diverse professional backgrounds who combine a broad spectrum of experience and expertise with a reputation for integrity. Directors should have experience in positions with a high degree of responsibility, be leaders in the companies or institutions with which they are affiliated and are selected based upon contributions they can make to the Board and management. The Nominating and Corporate Governance Committee’s assessment of a proposed candidate may include a review of the person’s judgment, experience, independence, understanding of the Company’s business or other related industries and such other factors as the Nominating and Corporate Governance Committee determines are relevant in light of the needs of the Board. The Nominating and Corporate Governance Committee believes that its nominees should reflect a diversity of experience, gender, race, ethnicity and age. The Board does not have a specific policy regarding director diversity. The Nominating and Corporate Governance Committee also considers such other relevant factors as it deems appropriate, including the current composition of the Board, the balance of management and independent directors, and the evaluations of other prospective nominees,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evaluation, it is expected that each member of the Nominating and Corporate Governance Committee will interview the prospective nominee before the prospective nominee is presented to the full Board for consideration. After completing this evaluation and interview process, the Nominating and Corporate Governance Committee will make a recommendation to the full Board as to the person(s) who should be nominated by the Board, and the Board determines the nominee(s) after considering the recommendation and report of the Nominating and Corporate Governance Committee. We look for director candidates who have the skills and experience necessary to help us achieve success within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of our directors has the necessary qualifications to be a value-added member of our Board. As noted in the director biographies, our directors have experience, qualifications and skills across a wide range of public and private companies, possessing a broad spectrum of experience both individually and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 between any of the directors or the director nominee or officers of our Company or any other person pursuant to which any officer or director or director nominee was or is to be selected as an officer or director or director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nominations or other business to be properly brought before an annual meeting by a stockholder, the stockholder must have given timely notice thereof in writing to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shall be delivered to the Chief Financial Officer at the principal executive offices of the Company not later than the close of business on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nor earlier than the close of business on the one hundred twentieth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such annual meeting and not later than the close of business on the later of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such annual meeting or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announcement of the date of such meeting is first made. In no event shall the public announcement of an adjournment of an annual meeting commence a new time period for the giving of a stockholder’s notice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14a-4(d) thereunder (including such person’s written consent to being named in the proxy statement as a nominee and to serving as a director if elected); (B) as to the stockholder giving the notice and the beneficial owner, if any, on whose behalf the nomination is made: (i) the name and address of such stockholder, as they appear on the Company’s books, and of such beneficial owner, (ii) the class and number of shares of the Company that are owned beneficially and of record by such stockholder and such beneficial owner and (iii) whether either such stockholder or beneficial owner intends to deliver a proxy statement and form of proxy to holders of, in the case of the proposal, at least the percentage of the Company’s voting shares required under applicable law to carry the proposal or, in the case of a nomination or nominations, a sufficient number of holders of the Company’s voting shares to elect such nominee 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and the solicitation notice should be sent to the Nominating and Corporate Governance Committee, 60 Degrees Pharmaceuticals, Inc., 1025 Connecticut Avenue NW Suite 1000, Washington, D.C. 20036.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we have not received timely notice of any nomination by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Nominees for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recommended to the Board and the Board nominated Mr. Dow, Mr. Francois, Ms. Xu, Mr. Toovey and Mr. Field to stand for election for the five (5) Board seats. Each such individual has consented to serve if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we expect that all of the aforementioned nominees will serve as directors and hold office until the 2026 Annual Meeting of Stockholders and until their respective successors have been elected and qualified or until their death, retirement or resignation.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Ethical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 Degrees Pharmaceuticals’ code of business conduct and ethics (“Code”) was adopted to emphasize the Company’s commitment to the highest standards of business conduct. The Code applies to our directors, officers and employees, including our principal executive officer, principal financial officer and principal accounting officer or controller, or persons performing similar functions. The Code is available on our corporate website at </w:t>
      </w:r>
      <w:r>
        <w:rPr>
          <w:rFonts w:ascii="Times New Roman;Times;Serif" w:hAnsi="Times New Roman;Times;Serif"/>
          <w:b w:val="false"/>
          <w:i/>
          <w:caps w:val="false"/>
          <w:smallCaps w:val="false"/>
          <w:sz w:val="20"/>
        </w:rPr>
        <w:t>https://investors.60degreespharma.com/corporate-governance/governance-overview</w:t>
      </w:r>
      <w:r>
        <w:rPr>
          <w:rFonts w:ascii="Times New Roman;Times;Serif" w:hAnsi="Times New Roman;Times;Serif"/>
          <w:b w:val="false"/>
          <w:i w:val="false"/>
          <w:caps w:val="false"/>
          <w:smallCaps w:val="false"/>
          <w:sz w:val="20"/>
        </w:rPr>
        <w:t>. The Code requires compliance with applicable law, discusses how conflicts of interest are handled, requires familiarity with the Company’s disclosure requirements and provides for waivers under certain circumstances. We intend to disclose any amendments to our code of business conduct and ethics, or waivers of its requirements, on our website or in filings under the Exchange Act to the extent required by applicable rules and exchange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Leadership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annually reviews the Board’s leadership structure and evaluates the performance and effectiveness of the Board. The Board retains the authority to modify its leadership structure in order to stay current with our Company’s circumstances and advance the best interests of the Company and its stockholders as and when appropriate. The Board’s annual self-evaluation includes questions regarding the Board’s opportunities for open communication and the effectiveness of executive sessions.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Policies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Director Independence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undertakes an annual review of director independence. During this review, the Board considers transactions and relationships between each director or any member of his or her immediate family and the Company and its subsidiaries and affiliates. The purpose of this review is to determine whether any such relationships or transactions were inconsistent with a determination that the director is independent. As a result of this review, the Board affirmatively determined that three (3) of the five (5) of the directors are independent of the Company and its management under Nasdaq rules. Geoffrey Dow and Cheryl Xu are not considered independent because of their employment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that the other directors did not have a material relationship with the Company, the Board concluded that Messrs. Allen, Toovey, Field and Francois had no other relationship with the Company other than their relationship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Committee Charters</w:t>
      </w:r>
      <w:r>
        <w:rPr>
          <w:rFonts w:ascii="Times New Roman;Times;Serif" w:hAnsi="Times New Roman;Times;Serif"/>
          <w:b w:val="false"/>
          <w:i w:val="false"/>
          <w:caps w:val="false"/>
          <w:smallCaps w:val="false"/>
          <w:sz w:val="20"/>
        </w:rPr>
        <w:t xml:space="preserve">. The Audit Committee, the Compensation Committee and the Nominating and Corporate Governance Committee of the Board operate pursuant to written charters. These charters were approved by the Board and reflect certain best practices in corporate governance. These charters comply with the requirements of the Nasdaq. Each charter is available on the Company’s website at: </w:t>
      </w:r>
      <w:r>
        <w:rPr>
          <w:rFonts w:ascii="Times New Roman;Times;Serif" w:hAnsi="Times New Roman;Times;Serif"/>
          <w:b w:val="false"/>
          <w:i/>
          <w:caps w:val="false"/>
          <w:smallCaps w:val="false"/>
          <w:sz w:val="20"/>
        </w:rPr>
        <w:t>https://investors.60degreespharma.com/corporate-governance/governance-overview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Private Executive Sessions</w:t>
      </w:r>
      <w:r>
        <w:rPr>
          <w:rFonts w:ascii="Times New Roman;Times;Serif" w:hAnsi="Times New Roman;Times;Serif"/>
          <w:b w:val="false"/>
          <w:i w:val="false"/>
          <w:caps w:val="false"/>
          <w:smallCaps w:val="false"/>
          <w:sz w:val="20"/>
        </w:rPr>
        <w:t>. Our non-management directors meet in executive session at each regular Board meeting. The executive sessions are attended only by the non-management directors. Our independent directors meet in executive sessions at least once per year and met once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Advance Materials</w:t>
      </w:r>
      <w:r>
        <w:rPr>
          <w:rFonts w:ascii="Times New Roman;Times;Serif" w:hAnsi="Times New Roman;Times;Serif"/>
          <w:b w:val="false"/>
          <w:i w:val="false"/>
          <w:caps w:val="false"/>
          <w:smallCaps w:val="false"/>
          <w:sz w:val="20"/>
        </w:rPr>
        <w:t>. Information and data important to the directors’ understanding of the business or matters to be considered at a Board or Board committee meeting are, to the extent practical, distributed to the directors sufficiently in advance of the meeting to allow careful review prior to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Access</w:t>
      </w:r>
      <w:r>
        <w:rPr>
          <w:rFonts w:ascii="Times New Roman;Times;Serif" w:hAnsi="Times New Roman;Times;Serif"/>
          <w:b w:val="false"/>
          <w:i w:val="false"/>
          <w:caps w:val="false"/>
          <w:smallCaps w:val="false"/>
          <w:sz w:val="20"/>
        </w:rPr>
        <w:t>. The Board has access to management and outside advisers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u w:val="single"/>
              </w:rPr>
              <w:t>Access to Management and Employees</w:t>
            </w:r>
            <w:r>
              <w:rPr>
                <w:sz w:val="20"/>
              </w:rPr>
              <w:t>. Directors have full and unrestricted access to the management and employees of the Company. Additionally, key members of management attend Board meetings to present information about the results, plans and operations of the business within their areas of responsibility.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u w:val="single"/>
              </w:rPr>
              <w:t>Access to Outside Advisors</w:t>
            </w:r>
            <w:r>
              <w:rPr>
                <w:sz w:val="20"/>
              </w:rPr>
              <w:t>. The Board and its committees may retain counsel or consultants without obtaining the approval of any officer of the Company in advance or otherwise. The Audit Committee has the sole authority to retain and terminate the independent auditor. The Nominating and Corporate Governance Committee has the sole authority to retain search firms to be used to identify director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 Board’s Role In Risk Oversight</w:t>
      </w:r>
      <w:r>
        <w:rPr>
          <w:rFonts w:ascii="Times New Roman;Times;Serif" w:hAnsi="Times New Roman;Times;Serif"/>
          <w:b w:val="false"/>
          <w:i w:val="false"/>
          <w:caps w:val="false"/>
          <w:smallCaps w:val="false"/>
          <w:sz w:val="20"/>
        </w:rPr>
        <w:t>. The Board maintains overall responsibility for overseeing the Company’s risk management, including succession planning, product safety and information and digital security. In furtherance of its responsibility, the Board has delegated specific risk-related responsibilities to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engages in substantive discussions of risk management at its regular committee meetings held during the year. At these meetings, it receives functional risk review reports covering significant areas of risk from the employees responsible for these functional areas, as well as receiving reports from the Chief Financial Officer who reports directly to the Chairperson of the Audit Committee. The Audit Committee also receives reports at each meeting regarding legal and regulatory risks from management and meets in separate executive sessions with our independent auditors and our Chief Financial Officer. The Audit Committee provides a summary to the full Board at certain Board meetings of the risk area reviewed together with any other risk related subjects discussed at the Audit Committee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 Board’s Role In Information Security</w:t>
      </w:r>
      <w:r>
        <w:rPr>
          <w:rFonts w:ascii="Times New Roman;Times;Serif" w:hAnsi="Times New Roman;Times;Serif"/>
          <w:b w:val="false"/>
          <w:i w:val="false"/>
          <w:caps w:val="false"/>
          <w:smallCaps w:val="false"/>
          <w:sz w:val="20"/>
        </w:rPr>
        <w:t>. Information security and privacy has been and remains of the utmost importance to the Company in light of the value we place on maintaining the trust and confidence of our customers, employees and other stakeholders. Accordingly, our Chief Executive Officer and President advises the Audit Committee and the full Board at least once per year on our program for managing information security risks, including data privacy and data protection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Access To The Board By Stockholders</w:t>
      </w:r>
      <w:r>
        <w:rPr>
          <w:rFonts w:ascii="Times New Roman;Times;Serif" w:hAnsi="Times New Roman;Times;Serif"/>
          <w:b w:val="false"/>
          <w:i w:val="false"/>
          <w:caps w:val="false"/>
          <w:smallCaps w:val="false"/>
          <w:sz w:val="20"/>
        </w:rPr>
        <w:t>. Stockholders and other parties interested in communicating directly with individual directors, the non-management directors as a group or the entire Board may do so by writing to the Nominating and Corporate Governance Committee, c/o Nominating and Corporate Governance Committee Chairman, 60 Degrees Pharmaceuticals, Inc., 1025 Connecticut Avenue NW Suite 1000, Washington, D.C. 20036.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has approved a process for handling letters received by the Company and addressed to individual directors, non-management members of the Board or the Board. Under that process, the Chief Executive Officer and President of the Company reviews all such correspondence and regularly forwards to a designated individual member of the Nominating and Corporate Governance Committee copies of all such correspondence (although we do not forward commercial correspondence and correspondence duplicative in nature; however, we will retain duplicate correspondence and all duplicate correspondence will be available for directors’ review upon their request) and a summary of all such correspondence. The Chairman of the Nominating and Corporate Governance Committee will forward correspondence directed to individual directors as he deems appropriate. Written correspondence from stockholders relating to accounting, internal controls or auditing matters are immediately brought to the attention of the Company’s Audit Committee Chairman and handled in accordance with procedures established by the Audit Committee with respect to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 standing Audit Committee, Compensation Committee and Nominating and Corporate Governance Committee. The following table summarizes the members and functions of the Board’s committees.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6"/>
        <w:gridCol w:w="60"/>
        <w:gridCol w:w="230"/>
        <w:gridCol w:w="60"/>
        <w:gridCol w:w="680"/>
        <w:gridCol w:w="60"/>
        <w:gridCol w:w="440"/>
        <w:gridCol w:w="60"/>
        <w:gridCol w:w="7249"/>
      </w:tblGrid>
      <w:tr>
        <w:trPr/>
        <w:tc>
          <w:tcPr>
            <w:tcW w:w="1366" w:type="dxa"/>
            <w:tcBorders/>
            <w:shd w:fill="CCEEFF" w:val="clear"/>
            <w:vAlign w:val="center"/>
          </w:tcPr>
          <w:p>
            <w:pPr>
              <w:pStyle w:val="TableContents"/>
              <w:bidi w:val="0"/>
              <w:spacing w:before="0" w:after="283"/>
              <w:jc w:val="left"/>
              <w:rPr>
                <w:sz w:val="20"/>
              </w:rPr>
            </w:pPr>
            <w:r>
              <w:rPr>
                <w:sz w:val="20"/>
              </w:rPr>
              <w:t>Stephen Toovey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center"/>
              <w:rPr>
                <w:sz w:val="20"/>
              </w:rPr>
            </w:pPr>
            <w:r>
              <w:rPr>
                <w:sz w:val="20"/>
              </w:rPr>
              <w:t>72</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Director</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sz w:val="20"/>
              </w:rPr>
            </w:pPr>
            <w:r>
              <w:rPr>
                <w:sz w:val="20"/>
              </w:rPr>
              <w:t>2023</w:t>
            </w:r>
          </w:p>
        </w:tc>
        <w:tc>
          <w:tcPr>
            <w:tcW w:w="60" w:type="dxa"/>
            <w:tcBorders/>
            <w:shd w:fill="CCEEFF" w:val="clear"/>
            <w:vAlign w:val="center"/>
          </w:tcPr>
          <w:p>
            <w:pPr>
              <w:pStyle w:val="TableContents"/>
              <w:bidi w:val="0"/>
              <w:spacing w:before="0" w:after="283"/>
              <w:jc w:val="left"/>
              <w:rPr/>
            </w:pPr>
            <w:r>
              <w:rPr/>
              <w:t> </w:t>
            </w:r>
          </w:p>
        </w:tc>
        <w:tc>
          <w:tcPr>
            <w:tcW w:w="7249" w:type="dxa"/>
            <w:tcBorders/>
            <w:shd w:fill="CCEEFF" w:val="clear"/>
            <w:vAlign w:val="center"/>
          </w:tcPr>
          <w:p>
            <w:pPr>
              <w:pStyle w:val="TableContents"/>
              <w:bidi w:val="0"/>
              <w:spacing w:before="0" w:after="283"/>
              <w:jc w:val="center"/>
              <w:rPr>
                <w:sz w:val="20"/>
              </w:rPr>
            </w:pPr>
            <w:r>
              <w:rPr>
                <w:sz w:val="20"/>
              </w:rPr>
              <w:t>Nominating and Governance – Chairman; Audit; Nominating and Corporate Governance.</w:t>
            </w:r>
          </w:p>
        </w:tc>
      </w:tr>
      <w:tr>
        <w:trPr/>
        <w:tc>
          <w:tcPr>
            <w:tcW w:w="1366" w:type="dxa"/>
            <w:tcBorders/>
            <w:vAlign w:val="center"/>
          </w:tcPr>
          <w:p>
            <w:pPr>
              <w:pStyle w:val="TableContents"/>
              <w:bidi w:val="0"/>
              <w:spacing w:before="0" w:after="283"/>
              <w:jc w:val="left"/>
              <w:rPr>
                <w:sz w:val="20"/>
              </w:rPr>
            </w:pPr>
            <w:r>
              <w:rPr>
                <w:sz w:val="20"/>
              </w:rPr>
              <w:t>Charles Allen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sz w:val="20"/>
              </w:rPr>
            </w:pPr>
            <w:r>
              <w:rPr>
                <w:sz w:val="20"/>
              </w:rPr>
              <w:t>50</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sz w:val="20"/>
              </w:rPr>
            </w:pPr>
            <w:r>
              <w:rPr>
                <w:sz w:val="20"/>
              </w:rPr>
              <w:t>Director</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sz w:val="20"/>
              </w:rPr>
            </w:pPr>
            <w:r>
              <w:rPr>
                <w:sz w:val="20"/>
              </w:rPr>
              <w:t>2023</w:t>
            </w:r>
          </w:p>
        </w:tc>
        <w:tc>
          <w:tcPr>
            <w:tcW w:w="60" w:type="dxa"/>
            <w:tcBorders/>
            <w:vAlign w:val="center"/>
          </w:tcPr>
          <w:p>
            <w:pPr>
              <w:pStyle w:val="TableContents"/>
              <w:bidi w:val="0"/>
              <w:spacing w:before="0" w:after="283"/>
              <w:jc w:val="left"/>
              <w:rPr/>
            </w:pPr>
            <w:r>
              <w:rPr/>
              <w:t> </w:t>
            </w:r>
          </w:p>
        </w:tc>
        <w:tc>
          <w:tcPr>
            <w:tcW w:w="7249" w:type="dxa"/>
            <w:tcBorders/>
            <w:vAlign w:val="center"/>
          </w:tcPr>
          <w:p>
            <w:pPr>
              <w:pStyle w:val="TableContents"/>
              <w:bidi w:val="0"/>
              <w:spacing w:before="0" w:after="283"/>
              <w:jc w:val="center"/>
              <w:rPr>
                <w:sz w:val="20"/>
              </w:rPr>
            </w:pPr>
            <w:r>
              <w:rPr>
                <w:sz w:val="20"/>
              </w:rPr>
              <w:t>Audit – Chairman; Compensation; Nominating and Corporate Governance.</w:t>
            </w:r>
          </w:p>
        </w:tc>
      </w:tr>
      <w:tr>
        <w:trPr/>
        <w:tc>
          <w:tcPr>
            <w:tcW w:w="1366" w:type="dxa"/>
            <w:tcBorders/>
            <w:shd w:fill="CCEEFF" w:val="clear"/>
            <w:vAlign w:val="center"/>
          </w:tcPr>
          <w:p>
            <w:pPr>
              <w:pStyle w:val="TableContents"/>
              <w:bidi w:val="0"/>
              <w:spacing w:before="0" w:after="283"/>
              <w:jc w:val="left"/>
              <w:rPr>
                <w:sz w:val="20"/>
              </w:rPr>
            </w:pPr>
            <w:r>
              <w:rPr>
                <w:sz w:val="20"/>
              </w:rPr>
              <w:t>Paul Field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center"/>
              <w:rPr>
                <w:sz w:val="20"/>
              </w:rPr>
            </w:pPr>
            <w:r>
              <w:rPr>
                <w:sz w:val="20"/>
              </w:rPr>
              <w:t>63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Director</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sz w:val="20"/>
              </w:rPr>
            </w:pPr>
            <w:r>
              <w:rPr>
                <w:sz w:val="20"/>
              </w:rPr>
              <w:t>2023</w:t>
            </w:r>
          </w:p>
        </w:tc>
        <w:tc>
          <w:tcPr>
            <w:tcW w:w="60" w:type="dxa"/>
            <w:tcBorders/>
            <w:shd w:fill="CCEEFF" w:val="clear"/>
            <w:vAlign w:val="center"/>
          </w:tcPr>
          <w:p>
            <w:pPr>
              <w:pStyle w:val="TableContents"/>
              <w:bidi w:val="0"/>
              <w:spacing w:before="0" w:after="283"/>
              <w:jc w:val="left"/>
              <w:rPr/>
            </w:pPr>
            <w:r>
              <w:rPr/>
              <w:t> </w:t>
            </w:r>
          </w:p>
        </w:tc>
        <w:tc>
          <w:tcPr>
            <w:tcW w:w="7249" w:type="dxa"/>
            <w:tcBorders/>
            <w:shd w:fill="CCEEFF" w:val="clear"/>
            <w:vAlign w:val="center"/>
          </w:tcPr>
          <w:p>
            <w:pPr>
              <w:pStyle w:val="TableContents"/>
              <w:bidi w:val="0"/>
              <w:spacing w:before="0" w:after="283"/>
              <w:jc w:val="center"/>
              <w:rPr>
                <w:sz w:val="20"/>
              </w:rPr>
            </w:pPr>
            <w:r>
              <w:rPr>
                <w:sz w:val="20"/>
              </w:rPr>
              <w:t>Compensation – Chairman; Compensation; Audit.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45"/>
        <w:gridCol w:w="60"/>
        <w:gridCol w:w="170"/>
        <w:gridCol w:w="7530"/>
      </w:tblGrid>
      <w:tr>
        <w:trPr/>
        <w:tc>
          <w:tcPr>
            <w:tcW w:w="2445" w:type="dxa"/>
            <w:tcBorders>
              <w:bottom w:val="single" w:sz="12" w:space="0" w:color="000000"/>
            </w:tcBorders>
            <w:vAlign w:val="center"/>
          </w:tcPr>
          <w:p>
            <w:pPr>
              <w:pStyle w:val="TableContents"/>
              <w:bidi w:val="0"/>
              <w:spacing w:before="0" w:after="283"/>
              <w:jc w:val="left"/>
              <w:rPr>
                <w:b/>
                <w:sz w:val="20"/>
              </w:rPr>
            </w:pPr>
            <w:r>
              <w:rPr>
                <w:b/>
                <w:sz w:val="20"/>
              </w:rPr>
              <w:t>Name of Committee and</w:t>
              <w:br/>
              <w:t>Its Members</w:t>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bottom w:val="single" w:sz="12" w:space="0" w:color="000000"/>
            </w:tcBorders>
            <w:vAlign w:val="center"/>
          </w:tcPr>
          <w:p>
            <w:pPr>
              <w:pStyle w:val="TableContents"/>
              <w:bidi w:val="0"/>
              <w:spacing w:before="0" w:after="283"/>
              <w:jc w:val="center"/>
              <w:rPr>
                <w:b/>
                <w:sz w:val="20"/>
              </w:rPr>
            </w:pPr>
            <w:r>
              <w:rPr>
                <w:b/>
                <w:sz w:val="20"/>
              </w:rPr>
              <w:t>Functions of the Committee</w:t>
            </w:r>
          </w:p>
        </w:tc>
      </w:tr>
      <w:tr>
        <w:trPr/>
        <w:tc>
          <w:tcPr>
            <w:tcW w:w="2445" w:type="dxa"/>
            <w:vMerge w:val="restart"/>
            <w:tcBorders/>
            <w:tcMar>
              <w:bottom w:w="0" w:type="dxa"/>
            </w:tcMar>
            <w:vAlign w:val="center"/>
          </w:tcPr>
          <w:p>
            <w:pPr>
              <w:pStyle w:val="TableContents"/>
              <w:bidi w:val="0"/>
              <w:spacing w:before="0" w:after="283"/>
              <w:jc w:val="left"/>
              <w:rPr/>
            </w:pPr>
            <w:r>
              <w:rPr>
                <w:i/>
              </w:rPr>
              <w:t>Audit Committee:</w:t>
            </w:r>
            <w:r>
              <w:rPr/>
              <w:br/>
              <w:br/>
              <w:t>Charles Allen,</w:t>
              <w:br/>
              <w:t xml:space="preserve">Chairman; </w:t>
              <w:br/>
              <w:t xml:space="preserve">Stephen Toovey; </w:t>
              <w:br/>
              <w:t>Paul Field.</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reviewing and discussing with management and the independent auditor the annual audited financial statements, and recommending to the Board whether the audited financial statements should be included in our annual disclosure report;</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discussing with management and the independent auditor significant financial reporting issues and judgments made in connection with the preparation of our financial statements;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discussing with management major risk assessment and risk management policies;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monitoring the independence of the independent auditor;</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verifying the rotation of the lead (or coordinating) audit partner having primary responsibility for the audit and the audit partner responsible for reviewing the audit as required by law;</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reviewing and approving all related-party transactions;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inquiring and discussing with management our compliance with applicable laws and regulations;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pre-approving all audit services and permitted non-audit services to be performed by our independent auditor, including the fees and terms of the services to be performed;</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appointing or replacing the independent auditor;</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establishing procedures for the receipt, retention and treatment of complaints received by us regarding accounting, internal accounting controls or reports which raise material issues regarding our financial statements or accounting policies; and</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approving reimbursement of expenses incurred by our management team in identifying potential target businesses.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restart"/>
            <w:tcBorders/>
            <w:tcMar>
              <w:bottom w:w="0" w:type="dxa"/>
            </w:tcMar>
            <w:vAlign w:val="center"/>
          </w:tcPr>
          <w:p>
            <w:pPr>
              <w:pStyle w:val="TableContents"/>
              <w:bidi w:val="0"/>
              <w:spacing w:before="0" w:after="283"/>
              <w:jc w:val="left"/>
              <w:rPr/>
            </w:pPr>
            <w:r>
              <w:rPr>
                <w:i/>
              </w:rPr>
              <w:t>Compensation Committee:</w:t>
            </w:r>
            <w:r>
              <w:rPr/>
              <w:br/>
              <w:br/>
              <w:t>Paul Field,</w:t>
              <w:br/>
              <w:t xml:space="preserve">Chairman; </w:t>
              <w:br/>
              <w:t xml:space="preserve">Charles Allen; </w:t>
              <w:br/>
              <w:t>Stephen Toovey</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reviewing, approving and determining or making recommendations to our Board regarding the compensation of our executive officers;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administering our equity compensation plans;</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reviewing and approving, or makings recommendations to our Board regarding incentive compensation and equity compensation plans; and</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establishing and reviewing general policies relating to compensation and benefits of our employees.</w:t>
            </w:r>
          </w:p>
        </w:tc>
      </w:tr>
      <w:tr>
        <w:trPr/>
        <w:tc>
          <w:tcPr>
            <w:tcW w:w="2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restart"/>
            <w:tcBorders/>
            <w:tcMar>
              <w:bottom w:w="0" w:type="dxa"/>
            </w:tcMar>
            <w:vAlign w:val="center"/>
          </w:tcPr>
          <w:p>
            <w:pPr>
              <w:pStyle w:val="TableContents"/>
              <w:bidi w:val="0"/>
              <w:spacing w:before="0" w:after="283"/>
              <w:jc w:val="left"/>
              <w:rPr/>
            </w:pPr>
            <w:r>
              <w:rPr>
                <w:i/>
              </w:rPr>
              <w:t>Nominating and Corporate Governance Committee</w:t>
            </w:r>
            <w:r>
              <w:rPr/>
              <w:br/>
              <w:br/>
              <w:t>Stephen Toovey,</w:t>
              <w:br/>
              <w:t>Chairman;</w:t>
              <w:br/>
              <w:t>Charles Allen;</w:t>
              <w:br/>
              <w:t>Paul Field</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identifying, reviewing and evaluating candidates to serve on our Board consistent with criteria approved by our Board;</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evaluating director performance on our Board and applicable committees of our Board and determining whether continued service on our Board is appropriate;</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evaluating nominations by stockholders of candidates for election to our Board; and</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700" w:type="dxa"/>
            <w:gridSpan w:val="2"/>
            <w:tcBorders/>
            <w:tcMar>
              <w:bottom w:w="0" w:type="dxa"/>
            </w:tcMar>
            <w:vAlign w:val="center"/>
          </w:tcPr>
          <w:p>
            <w:pPr>
              <w:pStyle w:val="TableContents"/>
              <w:bidi w:val="0"/>
              <w:spacing w:before="0" w:after="283"/>
              <w:jc w:val="both"/>
              <w:rPr/>
            </w:pPr>
            <w:r>
              <w:rPr/>
              <w:t> </w:t>
            </w:r>
          </w:p>
        </w:tc>
      </w:tr>
      <w:tr>
        <w:trPr/>
        <w:tc>
          <w:tcPr>
            <w:tcW w:w="244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both"/>
              <w:rPr>
                <w:sz w:val="20"/>
              </w:rPr>
            </w:pPr>
            <w:r>
              <w:rPr>
                <w:sz w:val="20"/>
              </w:rPr>
              <w:t>corporate governance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Audit Committee: </w:t>
      </w:r>
      <w:r>
        <w:rPr>
          <w:rFonts w:ascii="Times New Roman;Times;Serif" w:hAnsi="Times New Roman;Times;Serif"/>
          <w:b w:val="false"/>
          <w:i w:val="false"/>
          <w:caps w:val="false"/>
          <w:smallCaps w:val="false"/>
          <w:sz w:val="20"/>
        </w:rPr>
        <w:t>The members of the Audit Committee (for purposes of this report, the “Committee”) are Messrs. Charles Allen, who serves as Chairman, Stephen Toovey and Paul Field. The Board has determined that all of the members of the Committee are independent within the meaning of applicable SEC regulations and the listing standards of the Nasdaq and that Mr. Allen, the Chair of the Committee, is qualified as an audit committee financial expert within the meaning of SEC regulations. The Board has also determined that Mr. Allen has accounting and related financial management expertise within the meaning of the listing standards of the Nasdaq and that each member of the Committee is financially literate within the meaning of the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 Charter:</w:t>
      </w:r>
      <w:r>
        <w:rPr>
          <w:rFonts w:ascii="Times New Roman;Times;Serif" w:hAnsi="Times New Roman;Times;Serif"/>
          <w:b w:val="false"/>
          <w:i w:val="false"/>
          <w:caps w:val="false"/>
          <w:smallCaps w:val="false"/>
          <w:sz w:val="20"/>
        </w:rPr>
        <w:t xml:space="preserve"> The Audit Committee operates under a written charter adopted by the Board. The charter is reviewed by management at least annually, and any recommended changes are presented to the Committee for review and approval. The charter is available on our website at: </w:t>
      </w:r>
      <w:r>
        <w:rPr>
          <w:rFonts w:ascii="Times New Roman;Times;Serif" w:hAnsi="Times New Roman;Times;Serif"/>
          <w:b w:val="false"/>
          <w:i/>
          <w:caps w:val="false"/>
          <w:smallCaps w:val="false"/>
          <w:sz w:val="20"/>
        </w:rPr>
        <w:t>https://investors.60degreespharma.com/corporate-governance/governance-overview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Responsibilities: </w:t>
      </w:r>
      <w:r>
        <w:rPr>
          <w:rFonts w:ascii="Times New Roman;Times;Serif" w:hAnsi="Times New Roman;Times;Serif"/>
          <w:b w:val="false"/>
          <w:i w:val="false"/>
          <w:caps w:val="false"/>
          <w:smallCaps w:val="false"/>
          <w:sz w:val="20"/>
        </w:rPr>
        <w:t>The Committee assists the Board in fulfilling its responsibilities for general oversight of the integrity of the Company’s financial statements, the adequacy of the Company’s system of internal controls and procedures and disclosure controls and procedures, the Company’s risk management, the Company’s compliance with legal and regulatory requirements, the independent auditors’ qualifications and independence and the performance of the Company’s internal audit function and independent auditors. The Committee has the authority to obtain advice and assistance from outside legal, accounting or other advisors as the Committee deems necessary to carry out its duties and receive appropriate funding, as determined by the Committee, from the Company for such advice and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has sole authority over the selection of the Company’s independent auditors and manages the Company’s relationship with its independent auditors (who report directly to the Committee). Each year, the Committee evaluates the performance, qualifications and independence of the independent auditors. The Committee is also involved in the selection of the lead audit partner. In evaluating the Company’s independent auditors, the Committee considers the quality of the services provided, as well as the independent auditors’ and lead partner’s capabilities and technical expertise and knowledge of the Company’s operations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met four times during the fiscal year ended 2025. The Committee schedules its meetings with a view to ensuring that it devotes appropriate attention to all of its tasks. The Committee’s meetings generally include private sessions with the Company’s independent auditors and with the Company’s internal auditors, in each case without the presence of the Company’s management, as well as executive sessions consisting of only Committee members. In addition to the scheduled meetings, senior management confers with the Committee or its Chair from time to time, as senior management deems advisable or appropriate, in connection with issues or concerns that arise throughout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Company’s financial reporting process, including its system of internal control over financial reporting, and for the preparation of consolidated financial statements in accordance with accounting principles generally accepted in the United States. The Company’s independent auditors are responsible for auditing those financial statements in accordance with professional standards and expressing an opinion as to their material conformity with U.S. generally accepted accounting principles and for auditing the effectiveness of the Company’s internal control over financial reporting. The Committee’s responsibility is to monitor and review the Company’s financial reporting process and discuss management’s report on the Company’s internal control over financial reporting. It is not the Committee’s duty or responsibility to conduct audits or accounting reviews or procedures. The Committee has relied, without independent verification, on management’s representations that the financial statements have been prepared with integrity and objectivity and in conformity with accounting principles generally accepted in the U.S. and that the Company’s internal control over financial reporting is effective. The Committee has also relied, without independent verification, on the opinion of the independent auditors included in their report regarding the Company’s financial statements and effectiveness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Oversight Matters: </w:t>
      </w:r>
      <w:r>
        <w:rPr>
          <w:rFonts w:ascii="Times New Roman;Times;Serif" w:hAnsi="Times New Roman;Times;Serif"/>
          <w:b w:val="false"/>
          <w:i w:val="false"/>
          <w:caps w:val="false"/>
          <w:smallCaps w:val="false"/>
          <w:sz w:val="20"/>
        </w:rPr>
        <w:t>As part of its oversight of the Company’s financial statements, the Committee reviews and discusses with both management and the Company’s independent auditors all annual and quarterly financial statements prior to their issuance. With respect to each 2025 fiscal reporting period, management advised the Committee that each set of financial statements reviewed had been prepared in accordance with accounting principles generally accepted in the U.S., and reviewed significant accounting and disclosure issues with the Committee. These reviews included discussions with the independent auditors of matters required to be discussed pursuant to Public Company Accounting Oversight Board (“PCAOB”) Auditing Standard No. 1301 (Communication with Audit Committees), including the quality (not merely the acceptability) of the Company’s accounting principles, the reasonableness of significant judgments, the clarity of disclosures in the financial statements and disclosures related to critical accounting practices. The Committee has also discussed with RBSM matters relating to their respective independence, including a review of audit and non-audit fees and the written disclosures and letter received from RBSM required by applicable requirements of the Public Company Accounting Oversight Board (“PCAOB”) regarding their respective communications with the Committee concerning independence. The Committee also considered whether non-audit services provided by the independent auditors are compatible with the independent auditors’ independence. The Committee also received regular updates, and written summaries as required by the PCAOB rules (for tax and other services), on the amount of fees and scope of audit, audit-related, tax and other services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Committee reviewed key initiatives and programs aimed at strengthening the effectiveness of the Company’s internal and disclosure control structure. As part of this process, the Committee continued to monitor the scope and adequacy of the Company’s internal auditing program, reviewing staffing levels and steps taken to implement recommended improvements in internal procedures and controls. The Committee also reviews and discusses legal and compliance matters with management, and, as necessary or advisable, the Company’s 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 Recommendation</w:t>
      </w:r>
      <w:r>
        <w:rPr>
          <w:rFonts w:ascii="Times New Roman;Times;Serif" w:hAnsi="Times New Roman;Times;Serif"/>
          <w:b w:val="false"/>
          <w:i w:val="false"/>
          <w:caps w:val="false"/>
          <w:smallCaps w:val="false"/>
          <w:sz w:val="20"/>
        </w:rPr>
        <w:t>: Based on the Committee’s discussions with management and the independent auditors and the Committee’s review of the representations of management and the report of the independent auditors to the Board and stockholders, and subject to the limitations on the Committee’s role and responsibilities referred to above and in the Audit Committee Charter, the Committee recommended to the Board that it include the audited consolidated financial statements in the Company’s Annual Report on Form 10-K for the fiscal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report has been furnished by the members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Allen, Chairman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Toovey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establishes and reevaluates if it deems necessary or prudent in its discretion, the cash and equity awards (amount and manner or method of payment) to be made to non-employee directors for such fiscal year. In making this determination, the Compensation Committee may utilize such market standard metrics as it deems appropriate, including, without limitation, an analysis of cash compensation paid to our peer group’s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the power and discretion to determine in the future whether non-employee directors should receive annual or other grants of options to purchase shares of common stock or other equity incentive awards in such amounts and under such policies as the Compensation Committee may determine utilizing such market standard metrics as it deems appropriate, including, without limitation, an analysis of equity awards granted to independent directors of our peer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compensation paid by the Company to its directors. The disclosure is provided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3"/>
        <w:gridCol w:w="60"/>
        <w:gridCol w:w="116"/>
        <w:gridCol w:w="1330"/>
        <w:gridCol w:w="60"/>
        <w:gridCol w:w="60"/>
        <w:gridCol w:w="148"/>
        <w:gridCol w:w="682"/>
        <w:gridCol w:w="60"/>
        <w:gridCol w:w="60"/>
        <w:gridCol w:w="102"/>
        <w:gridCol w:w="961"/>
        <w:gridCol w:w="60"/>
        <w:gridCol w:w="60"/>
        <w:gridCol w:w="370"/>
        <w:gridCol w:w="2071"/>
        <w:gridCol w:w="60"/>
        <w:gridCol w:w="60"/>
        <w:gridCol w:w="250"/>
        <w:gridCol w:w="1653"/>
        <w:gridCol w:w="60"/>
        <w:gridCol w:w="60"/>
        <w:gridCol w:w="60"/>
        <w:gridCol w:w="680"/>
        <w:gridCol w:w="79"/>
      </w:tblGrid>
      <w:tr>
        <w:trPr/>
        <w:tc>
          <w:tcPr>
            <w:tcW w:w="1043"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46" w:type="dxa"/>
            <w:gridSpan w:val="2"/>
            <w:tcBorders>
              <w:bottom w:val="single" w:sz="12" w:space="0" w:color="000000"/>
            </w:tcBorders>
            <w:vAlign w:val="center"/>
          </w:tcPr>
          <w:p>
            <w:pPr>
              <w:pStyle w:val="TableContents"/>
              <w:bidi w:val="0"/>
              <w:spacing w:before="0" w:after="283"/>
              <w:jc w:val="center"/>
              <w:rPr>
                <w:b/>
              </w:rPr>
            </w:pPr>
            <w:r>
              <w:rPr>
                <w:b/>
              </w:rPr>
              <w:t>Fees Earned or Paid in Cash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 xml:space="preserve">Stock </w:t>
              <w:br/>
              <w:t>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12" w:space="0" w:color="000000"/>
            </w:tcBorders>
            <w:vAlign w:val="center"/>
          </w:tcPr>
          <w:p>
            <w:pPr>
              <w:pStyle w:val="TableContents"/>
              <w:bidi w:val="0"/>
              <w:spacing w:before="0" w:after="283"/>
              <w:jc w:val="center"/>
              <w:rPr>
                <w:b/>
              </w:rPr>
            </w:pPr>
            <w:r>
              <w:rPr>
                <w:b/>
              </w:rPr>
              <w:t>Option Awards</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12" w:space="0" w:color="000000"/>
            </w:tcBorders>
            <w:vAlign w:val="center"/>
          </w:tcPr>
          <w:p>
            <w:pPr>
              <w:pStyle w:val="TableContents"/>
              <w:bidi w:val="0"/>
              <w:spacing w:before="0" w:after="283"/>
              <w:jc w:val="center"/>
              <w:rPr>
                <w:b/>
              </w:rPr>
            </w:pPr>
            <w:r>
              <w:rPr>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3"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9" w:type="dxa"/>
            <w:tcBorders/>
            <w:tcMar>
              <w:bottom w:w="0" w:type="dxa"/>
            </w:tcMar>
            <w:vAlign w:val="center"/>
          </w:tcPr>
          <w:p>
            <w:pPr>
              <w:pStyle w:val="TableContents"/>
              <w:bidi w:val="0"/>
              <w:spacing w:before="0" w:after="283"/>
              <w:jc w:val="left"/>
              <w:rPr/>
            </w:pPr>
            <w:r>
              <w:rPr/>
              <w:t> </w:t>
            </w:r>
          </w:p>
        </w:tc>
      </w:tr>
      <w:tr>
        <w:trPr/>
        <w:tc>
          <w:tcPr>
            <w:tcW w:w="1043" w:type="dxa"/>
            <w:tcBorders/>
            <w:shd w:fill="CCEEFF" w:val="clear"/>
            <w:tcMar>
              <w:bottom w:w="0" w:type="dxa"/>
            </w:tcMar>
            <w:vAlign w:val="center"/>
          </w:tcPr>
          <w:p>
            <w:pPr>
              <w:pStyle w:val="TableContents"/>
              <w:bidi w:val="0"/>
              <w:spacing w:before="0" w:after="283"/>
              <w:jc w:val="left"/>
              <w:rPr/>
            </w:pPr>
            <w:r>
              <w:rPr/>
              <w:t>Charles Allen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pPr>
            <w:r>
              <w:rPr/>
              <w:t>53,000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pPr>
            <w:r>
              <w:rPr/>
              <w:t>8,240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jc w:val="left"/>
              <w:rPr/>
            </w:pPr>
            <w:r>
              <w:rPr/>
              <w:t> </w:t>
            </w:r>
          </w:p>
        </w:tc>
        <w:tc>
          <w:tcPr>
            <w:tcW w:w="207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61,240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043" w:type="dxa"/>
            <w:tcBorders/>
            <w:shd w:fill="FFFFFF" w:val="clear"/>
            <w:tcMar>
              <w:bottom w:w="0" w:type="dxa"/>
            </w:tcMar>
            <w:vAlign w:val="center"/>
          </w:tcPr>
          <w:p>
            <w:pPr>
              <w:pStyle w:val="TableContents"/>
              <w:bidi w:val="0"/>
              <w:spacing w:before="0" w:after="283"/>
              <w:jc w:val="left"/>
              <w:rPr/>
            </w:pPr>
            <w:r>
              <w:rPr/>
              <w:t>Cheryl Xu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pPr>
            <w:r>
              <w:rPr/>
              <w:t>8,240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jc w:val="left"/>
              <w:rPr/>
            </w:pPr>
            <w:r>
              <w:rPr/>
              <w:t> </w:t>
            </w:r>
          </w:p>
        </w:tc>
        <w:tc>
          <w:tcPr>
            <w:tcW w:w="20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6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53,240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043" w:type="dxa"/>
            <w:tcBorders/>
            <w:shd w:fill="CCEEFF" w:val="clear"/>
            <w:tcMar>
              <w:bottom w:w="0" w:type="dxa"/>
            </w:tcMar>
            <w:vAlign w:val="center"/>
          </w:tcPr>
          <w:p>
            <w:pPr>
              <w:pStyle w:val="TableContents"/>
              <w:bidi w:val="0"/>
              <w:spacing w:before="0" w:after="283"/>
              <w:jc w:val="left"/>
              <w:rPr/>
            </w:pPr>
            <w:r>
              <w:rPr/>
              <w:t>Stephen Toovey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pPr>
            <w:r>
              <w:rPr/>
              <w:t>8,240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jc w:val="left"/>
              <w:rPr/>
            </w:pPr>
            <w:r>
              <w:rPr/>
              <w:t> </w:t>
            </w:r>
          </w:p>
        </w:tc>
        <w:tc>
          <w:tcPr>
            <w:tcW w:w="20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58,250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043" w:type="dxa"/>
            <w:tcBorders/>
            <w:shd w:fill="FFFFFF" w:val="clear"/>
            <w:tcMar>
              <w:bottom w:w="0" w:type="dxa"/>
            </w:tcMar>
            <w:vAlign w:val="center"/>
          </w:tcPr>
          <w:p>
            <w:pPr>
              <w:pStyle w:val="TableContents"/>
              <w:bidi w:val="0"/>
              <w:spacing w:before="0" w:after="283"/>
              <w:jc w:val="left"/>
              <w:rPr/>
            </w:pPr>
            <w:r>
              <w:rPr/>
              <w:t>Paul Field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pPr>
            <w:r>
              <w:rPr/>
              <w:t>8,240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jc w:val="left"/>
              <w:rPr/>
            </w:pPr>
            <w:r>
              <w:rPr/>
              <w:t> </w:t>
            </w:r>
          </w:p>
        </w:tc>
        <w:tc>
          <w:tcPr>
            <w:tcW w:w="20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6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58,250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(1)</w:t>
            </w:r>
          </w:p>
        </w:tc>
        <w:tc>
          <w:tcPr>
            <w:tcW w:w="9931" w:type="dxa"/>
            <w:tcBorders/>
            <w:vAlign w:val="center"/>
          </w:tcPr>
          <w:p>
            <w:pPr>
              <w:pStyle w:val="TableContents"/>
              <w:bidi w:val="0"/>
              <w:spacing w:before="0" w:after="283"/>
              <w:jc w:val="both"/>
              <w:rPr>
                <w:sz w:val="20"/>
              </w:rPr>
            </w:pPr>
            <w:r>
              <w:rPr>
                <w:sz w:val="20"/>
              </w:rPr>
              <w:t>Represents the aggregate grant date fair value of options granted during the fiscal year, computed in accordance with FASB ASC Topic 718.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compensation packages of the Company’s executive officers. The disclosure is provided for the fiscal years ended December 31, 2025, 2024 and 2023. We refer to these individuals as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Compensation Table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50"/>
        <w:gridCol w:w="60"/>
        <w:gridCol w:w="530"/>
        <w:gridCol w:w="60"/>
        <w:gridCol w:w="167"/>
        <w:gridCol w:w="959"/>
        <w:gridCol w:w="60"/>
        <w:gridCol w:w="60"/>
        <w:gridCol w:w="176"/>
        <w:gridCol w:w="1010"/>
        <w:gridCol w:w="60"/>
        <w:gridCol w:w="60"/>
        <w:gridCol w:w="200"/>
        <w:gridCol w:w="976"/>
        <w:gridCol w:w="60"/>
        <w:gridCol w:w="60"/>
        <w:gridCol w:w="196"/>
        <w:gridCol w:w="1121"/>
        <w:gridCol w:w="60"/>
        <w:gridCol w:w="60"/>
        <w:gridCol w:w="140"/>
        <w:gridCol w:w="800"/>
        <w:gridCol w:w="80"/>
      </w:tblGrid>
      <w:tr>
        <w:trPr/>
        <w:tc>
          <w:tcPr>
            <w:tcW w:w="3250"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126" w:type="dxa"/>
            <w:gridSpan w:val="2"/>
            <w:tcBorders>
              <w:bottom w:val="single" w:sz="12" w:space="0" w:color="000000"/>
            </w:tcBorders>
            <w:vAlign w:val="center"/>
          </w:tcPr>
          <w:p>
            <w:pPr>
              <w:pStyle w:val="TableContents"/>
              <w:bidi w:val="0"/>
              <w:spacing w:before="0" w:after="283"/>
              <w:jc w:val="center"/>
              <w:rPr>
                <w:b/>
              </w:rPr>
            </w:pPr>
            <w:r>
              <w:rPr>
                <w:b/>
              </w:rPr>
              <w:t>Base Salary</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6" w:type="dxa"/>
            <w:gridSpan w:val="2"/>
            <w:tcBorders>
              <w:bottom w:val="single" w:sz="12" w:space="0" w:color="000000"/>
            </w:tcBorders>
            <w:vAlign w:val="center"/>
          </w:tcPr>
          <w:p>
            <w:pPr>
              <w:pStyle w:val="TableContents"/>
              <w:bidi w:val="0"/>
              <w:spacing w:before="0" w:after="283"/>
              <w:jc w:val="center"/>
              <w:rPr>
                <w:b/>
              </w:rPr>
            </w:pPr>
            <w:r>
              <w:rPr>
                <w:b/>
              </w:rPr>
              <w:t xml:space="preserve">Cash 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6" w:type="dxa"/>
            <w:gridSpan w:val="2"/>
            <w:tcBorders>
              <w:bottom w:val="single" w:sz="12" w:space="0" w:color="000000"/>
            </w:tcBorders>
            <w:vAlign w:val="center"/>
          </w:tcPr>
          <w:p>
            <w:pPr>
              <w:pStyle w:val="TableContents"/>
              <w:bidi w:val="0"/>
              <w:spacing w:before="0" w:after="283"/>
              <w:jc w:val="center"/>
              <w:rPr>
                <w:b/>
              </w:rPr>
            </w:pPr>
            <w:r>
              <w:rPr>
                <w:b/>
              </w:rPr>
              <w:t xml:space="preserve">Stock 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7" w:type="dxa"/>
            <w:gridSpan w:val="2"/>
            <w:tcBorders>
              <w:bottom w:val="single" w:sz="12" w:space="0" w:color="000000"/>
            </w:tcBorders>
            <w:vAlign w:val="center"/>
          </w:tcPr>
          <w:p>
            <w:pPr>
              <w:pStyle w:val="TableContents"/>
              <w:bidi w:val="0"/>
              <w:spacing w:before="0" w:after="283"/>
              <w:jc w:val="center"/>
              <w:rPr>
                <w:b/>
              </w:rPr>
            </w:pPr>
            <w:r>
              <w:rPr>
                <w:b/>
              </w:rPr>
              <w:t>Option Award</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tcMar>
              <w:bottom w:w="0" w:type="dxa"/>
            </w:tcMar>
            <w:vAlign w:val="center"/>
          </w:tcPr>
          <w:p>
            <w:pPr>
              <w:pStyle w:val="TableContents"/>
              <w:bidi w:val="0"/>
              <w:spacing w:before="0" w:after="283"/>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Geoffrey Dow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7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21" w:type="dxa"/>
            <w:tcBorders/>
            <w:shd w:fill="CCEEFF" w:val="clear"/>
            <w:tcMar>
              <w:bottom w:w="0" w:type="dxa"/>
            </w:tcMar>
            <w:vAlign w:val="center"/>
          </w:tcPr>
          <w:p>
            <w:pPr>
              <w:pStyle w:val="TableContents"/>
              <w:bidi w:val="0"/>
              <w:spacing w:before="0" w:after="283"/>
              <w:jc w:val="right"/>
              <w:rPr/>
            </w:pPr>
            <w:r>
              <w:rPr/>
              <w:t>477,750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727,750</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228,000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24,175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51,250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323,425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(Principal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125,555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125,555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50" w:type="dxa"/>
            <w:tcBorders/>
            <w:shd w:fill="FFFFFF" w:val="clear"/>
            <w:tcMar>
              <w:bottom w:w="0" w:type="dxa"/>
            </w:tcMar>
            <w:vAlign w:val="center"/>
          </w:tcPr>
          <w:p>
            <w:pPr>
              <w:pStyle w:val="TableContents"/>
              <w:bidi w:val="0"/>
              <w:spacing w:before="0" w:after="283"/>
              <w:jc w:val="left"/>
              <w:rPr/>
            </w:pPr>
            <w:r>
              <w:rPr/>
              <w:t>Tyrone Miller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959" w:type="dxa"/>
            <w:tcBorders/>
            <w:shd w:fill="FFFFFF" w:val="clear"/>
            <w:tcMar>
              <w:bottom w:w="0" w:type="dxa"/>
            </w:tcMar>
            <w:vAlign w:val="center"/>
          </w:tcPr>
          <w:p>
            <w:pPr>
              <w:pStyle w:val="TableContents"/>
              <w:bidi w:val="0"/>
              <w:spacing w:before="0" w:after="283"/>
              <w:jc w:val="right"/>
              <w:rPr/>
            </w:pPr>
            <w:r>
              <w:rPr/>
              <w:t>215,000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97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w:t>
            </w:r>
          </w:p>
        </w:tc>
        <w:tc>
          <w:tcPr>
            <w:tcW w:w="1121" w:type="dxa"/>
            <w:tcBorders/>
            <w:shd w:fill="FFFFFF" w:val="clear"/>
            <w:tcMar>
              <w:bottom w:w="0" w:type="dxa"/>
            </w:tcMar>
            <w:vAlign w:val="center"/>
          </w:tcPr>
          <w:p>
            <w:pPr>
              <w:pStyle w:val="TableContents"/>
              <w:bidi w:val="0"/>
              <w:spacing w:before="0" w:after="283"/>
              <w:jc w:val="right"/>
              <w:rPr/>
            </w:pPr>
            <w:r>
              <w:rPr/>
              <w:t>68,250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283,250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50" w:type="dxa"/>
            <w:tcBorders/>
            <w:shd w:fill="FFFFFF" w:val="clear"/>
            <w:tcMar>
              <w:bottom w:w="0" w:type="dxa"/>
            </w:tcMar>
            <w:vAlign w:val="center"/>
          </w:tcPr>
          <w:p>
            <w:pPr>
              <w:pStyle w:val="TableContents"/>
              <w:bidi w:val="0"/>
              <w:spacing w:before="0" w:after="283"/>
              <w:jc w:val="left"/>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204,000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19,525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41,000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284,525</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250" w:type="dxa"/>
            <w:tcBorders/>
            <w:shd w:fill="FFFFFF" w:val="clear"/>
            <w:tcMar>
              <w:bottom w:w="0" w:type="dxa"/>
            </w:tcMar>
            <w:vAlign w:val="center"/>
          </w:tcPr>
          <w:p>
            <w:pPr>
              <w:pStyle w:val="TableContents"/>
              <w:bidi w:val="0"/>
              <w:spacing w:before="0" w:after="283"/>
              <w:jc w:val="left"/>
              <w:rPr/>
            </w:pPr>
            <w:r>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135,632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135,632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Kristen Landon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11,791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7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311,791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113,570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38,125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19,167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470,862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(1)</w:t>
            </w:r>
          </w:p>
        </w:tc>
        <w:tc>
          <w:tcPr>
            <w:tcW w:w="9937" w:type="dxa"/>
            <w:tcBorders/>
            <w:vAlign w:val="center"/>
          </w:tcPr>
          <w:p>
            <w:pPr>
              <w:pStyle w:val="TableContents"/>
              <w:bidi w:val="0"/>
              <w:spacing w:before="0" w:after="283"/>
              <w:jc w:val="both"/>
              <w:rPr>
                <w:sz w:val="20"/>
              </w:rPr>
            </w:pPr>
            <w:r>
              <w:rPr>
                <w:sz w:val="20"/>
              </w:rPr>
              <w:t>We periodically review, and may increase, base salaries in accordance with our normal annual compensation review for each of our named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2023, Dr. Dow was granted a five-year option to purchase a cumulative total of no more than 1,250 shares of our common stock over five years, vesting on the last day of each quarter in each calendar year for five years and (ii) Mr. Miller was granted a five-year option to purchase a cumulative total of no more than 1,000 shares of our common stock vesting on the last day of each quarter in each calendar year for five years. The per share exercise price of the options was initially equal to the per share closing price of our common stock on the date of grant and had a cashless exercise provision. In November 2023, the Board reset the exercise price of the options to be equal to $240.00 and modified the vesting provisions of the option to vest annually in equal tranches over five years, rather than quarterly, with the first vesting date being December 31, 2024. The initial grant and subsequent amendment of these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 and Mr. Miller’s option grants, as subsequently amended, were considered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subject to and contingent upon the stockholders of the Company approving the amendment to the 2022 Plan to increase the number of shares available under the 2022 Plan, we granted Ms. Landon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the Board approved the grant of the options to Ms. Landon at a per share exercise price of $27.40.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the grant of 26,250 options to Dr. Dow and 3,750 options to Mr. Miller as equity-based long-term incentive awards, which vest in five equal tranches on the last date of each fiscal year over five years, with the first vesting date being December 31, 2024. The options were granted on January 2, 2025 with a per share exercise price of $26.20, the closing stock price on the grant date, and have a seven-year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Dow Employment Agreement.</w:t>
      </w:r>
      <w:r>
        <w:rPr>
          <w:rFonts w:ascii="Times New Roman;Times;Serif" w:hAnsi="Times New Roman;Times;Serif"/>
          <w:b w:val="false"/>
          <w:i w:val="false"/>
          <w:caps w:val="false"/>
          <w:smallCaps w:val="false"/>
          <w:sz w:val="20"/>
        </w:rPr>
        <w:t xml:space="preserve"> We entered into an Employment Agreement dated as of January 12, 2023, with Geoffrey Dow (the “Dow Employment Agreement”), our Chief Executive Officer and Chairman of our Board. The term of the Dow Employment Agreement began on January 12, 2023 for an initial period of two years, with subsequent automatic renewals unless either party thereto provides notice to terminate at least 90 days prior to the applicable renewal date. The Dow Employment Agreement initially provided Dr. Dow an annual base salary of $228,000 (increased to $250,000 effective at the beginning of fiscal year 2025), bonuses to the extent certain events occur or if applicable performance goals are met and employee benefits that are generally given to our senior executives. In December 2024, the Board approved an increase to Dr. Dow’s base salary to $250,000 beginning in fiscal year 2025. Contingent on the receipt of shareholder approval to increase the number of shares available under the 2022 Plan, Dr. Dow was granted a five-year option to purchase a cumulative total of no more than 1,250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Dr. Dow’s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Dow’s option grant, as subsequently amended, was considered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Dr. Dow’s employment for Cause, as defined in the Dow Employment Agreement, at any time upon notice to Dr. Dow setting forth in reasonable detail the nature of such Cause. We also may terminate Dr. Dow’s employment other than for Cause at any time upon thirty (30) days’ written notice to him. Dr. Dow may terminate his employment for Good Reason, as defined in the Dow Employment Agreement, at any time upon thirty (30) days’ written notice to us. In the event that Dr. Dow’s employment is terminated other than for Cause or for Good Reason, Dr. Dow will be entitled to, among other things, a continuation of his annual salary plus health insurance benefits for a period not exceeding 18 months. In addition, in the event of a Change in Control, as defined in the Dow Employment Agreement, on, or at any time during the 24 months following, the Change in Control, (i) we terminate Dr. Dow’s employment for any reason other than Cause or Disability, as defined in the Dow Employment Agreement, or (ii) Dr. Dow terminates his employment for Good Reason, Dr. Dow will be entitled to Change in Control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Dow is subject to non-competition and non-solicitation during the term of his employment and for a period of 24 months after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Miller Employment Agreement</w:t>
      </w:r>
      <w:r>
        <w:rPr>
          <w:rFonts w:ascii="Times New Roman;Times;Serif" w:hAnsi="Times New Roman;Times;Serif"/>
          <w:b w:val="false"/>
          <w:i w:val="false"/>
          <w:caps w:val="false"/>
          <w:smallCaps w:val="false"/>
          <w:sz w:val="20"/>
        </w:rPr>
        <w:t>. We entered into an Employment Agreement dated as of January 12, 2023 with Tyrone Miller (the “Miller Employment Agreement”), our Chief Financial Officer. The term of the Miller Employment Agreement began on January 12, 2023 and will continue for a period of two years, with subsequent automatic renewals unless either party thereto provides notice to terminate at least 90 days prior to the applicable renewal date. The Miller Employment Agreement initially provided Mr. Miller an annual base salary of $204,000 (increased to $215,000 effective at the beginning of fiscal year 2025), bonuses to the extent certain events occur or if applicable performance goals are met and employee benefits that are generally given to our senior executives. Contingent on the receipt of shareholder approval to increase the number of shares available under the 2022 Plan, Mr. Miller was granted a five-year option to purchase a cumulative total of no more than 1,000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Mr. Miller’s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Mr. Miller’s option grant, as subsequently amended, was considered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Mr. Miller’s employment hereunder for Cause, as defined in the Miller Employment Agreement, at any time upon notice to Mr. Miller setting forth in reasonable detail the nature of such Cause. We also may terminate Mr. Miller’s employment other than for Cause at any time upon thirty (30) days’ written notice to him. Mr. Miller may terminate his employment for Good Reason, as defined in the Miller Employment Agreement, at any time upon thirty (30) days’ written notice to us. In the event that Mr. Miller’s employment is terminated other than for Cause or for Good Reason, Mr. Miller will be entitled to, among other things, a continuation of his annual salary plus health insurance benefits for a period not exceeding 18 months. In addition, in the event of a Change in Control, as defined in the Miller Employment Agreement, on, or at any time during the 24 months following, the Change in Control, (i) we terminate Mr. Miller’s employment for any reason other than Cause or Disability, as defined in the Miller Employment Agreement, or (ii) Mr. Miller terminates his employment for Good Reason, Mr. Miller will be entitled to Change in Control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Miller is subject to non-competition and non-solicitation during the term of his employment and for a period of 24 months after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Landon Employment Agreement</w:t>
      </w:r>
      <w:r>
        <w:rPr>
          <w:rFonts w:ascii="Times New Roman;Times;Serif" w:hAnsi="Times New Roman;Times;Serif"/>
          <w:b w:val="false"/>
          <w:i w:val="false"/>
          <w:caps w:val="false"/>
          <w:smallCaps w:val="false"/>
          <w:sz w:val="20"/>
        </w:rPr>
        <w:t>. We entered into an Employment Agreement dated as of February 7, 2024 with Kristen Landon (the “Landon Employment Agreement”), our Chief Commercial Officer. The term of the Landon Employment Agreement began on February 12, 2024 and will continue at will, meaning that Ms. Landon or the Company may terminate the employment relationship at any time, with or without cause, and with or without notice and for any reason or no particular reason. The Landon Employment Agreement provides Ms. Landon an annual base salary of $300,000, sales bonuses and bonuses to the extent certain events occur or if applicable performance goals are met and employee benefits that are generally given to our senior executives. Contingent on the receipt of shareholder approval to increase the number of shares available under the 2022 Plan, Ms. Landon was granted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after the receipt of stockholder approval to increase the number of shares available under the 2022 Plan, the Board approved the grant of the options to Ms. Landon at a per share exercise price of $27.40.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72"/>
        <w:gridCol w:w="60"/>
        <w:gridCol w:w="109"/>
        <w:gridCol w:w="1253"/>
        <w:gridCol w:w="60"/>
        <w:gridCol w:w="60"/>
        <w:gridCol w:w="596"/>
        <w:gridCol w:w="947"/>
        <w:gridCol w:w="60"/>
        <w:gridCol w:w="60"/>
        <w:gridCol w:w="114"/>
        <w:gridCol w:w="1314"/>
        <w:gridCol w:w="60"/>
        <w:gridCol w:w="60"/>
        <w:gridCol w:w="145"/>
        <w:gridCol w:w="707"/>
        <w:gridCol w:w="60"/>
        <w:gridCol w:w="60"/>
        <w:gridCol w:w="1076"/>
        <w:gridCol w:w="60"/>
        <w:gridCol w:w="373"/>
        <w:gridCol w:w="594"/>
        <w:gridCol w:w="60"/>
        <w:gridCol w:w="60"/>
        <w:gridCol w:w="537"/>
        <w:gridCol w:w="365"/>
        <w:gridCol w:w="83"/>
      </w:tblGrid>
      <w:tr>
        <w:trPr/>
        <w:tc>
          <w:tcPr>
            <w:tcW w:w="6937" w:type="dxa"/>
            <w:gridSpan w:val="17"/>
            <w:tcBorders>
              <w:bottom w:val="single" w:sz="12" w:space="0" w:color="000000"/>
            </w:tcBorders>
            <w:vAlign w:val="center"/>
          </w:tcPr>
          <w:p>
            <w:pPr>
              <w:pStyle w:val="TableContents"/>
              <w:bidi w:val="0"/>
              <w:spacing w:before="0" w:after="283"/>
              <w:jc w:val="center"/>
              <w:rPr>
                <w:b/>
              </w:rPr>
            </w:pPr>
            <w:r>
              <w:rPr>
                <w:b/>
              </w:rPr>
              <w:t>Option Awards</w:t>
            </w:r>
          </w:p>
        </w:tc>
        <w:tc>
          <w:tcPr>
            <w:tcW w:w="60" w:type="dxa"/>
            <w:tcBorders/>
            <w:tcMar>
              <w:bottom w:w="0" w:type="dxa"/>
            </w:tcMar>
            <w:vAlign w:val="center"/>
          </w:tcPr>
          <w:p>
            <w:pPr>
              <w:pStyle w:val="TableContents"/>
              <w:bidi w:val="0"/>
              <w:spacing w:before="0" w:after="283"/>
              <w:jc w:val="left"/>
              <w:rPr/>
            </w:pPr>
            <w:r>
              <w:rPr/>
              <w:t> </w:t>
            </w:r>
          </w:p>
        </w:tc>
        <w:tc>
          <w:tcPr>
            <w:tcW w:w="3208" w:type="dxa"/>
            <w:gridSpan w:val="9"/>
            <w:tcBorders>
              <w:bottom w:val="single" w:sz="12" w:space="0" w:color="000000"/>
            </w:tcBorders>
            <w:vAlign w:val="center"/>
          </w:tcPr>
          <w:p>
            <w:pPr>
              <w:pStyle w:val="TableContents"/>
              <w:bidi w:val="0"/>
              <w:spacing w:before="0" w:after="283"/>
              <w:jc w:val="center"/>
              <w:rPr>
                <w:b/>
              </w:rPr>
            </w:pPr>
            <w:r>
              <w:rPr>
                <w:b/>
              </w:rPr>
              <w:t>Stock Awards</w:t>
            </w:r>
          </w:p>
        </w:tc>
      </w:tr>
      <w:tr>
        <w:trPr/>
        <w:tc>
          <w:tcPr>
            <w:tcW w:w="1272"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62" w:type="dxa"/>
            <w:gridSpan w:val="2"/>
            <w:tcBorders>
              <w:bottom w:val="single" w:sz="12" w:space="0" w:color="000000"/>
            </w:tcBorders>
            <w:vAlign w:val="center"/>
          </w:tcPr>
          <w:p>
            <w:pPr>
              <w:pStyle w:val="TableContents"/>
              <w:bidi w:val="0"/>
              <w:spacing w:before="0" w:after="283"/>
              <w:jc w:val="center"/>
              <w:rPr>
                <w:b/>
              </w:rPr>
            </w:pPr>
            <w:r>
              <w:rPr>
                <w:b/>
              </w:rPr>
              <w:t>Number of securities underlying unexercised options, exercisable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3" w:type="dxa"/>
            <w:gridSpan w:val="2"/>
            <w:tcBorders>
              <w:bottom w:val="single" w:sz="12" w:space="0" w:color="000000"/>
            </w:tcBorders>
            <w:vAlign w:val="center"/>
          </w:tcPr>
          <w:p>
            <w:pPr>
              <w:pStyle w:val="TableContents"/>
              <w:bidi w:val="0"/>
              <w:spacing w:before="0" w:after="283"/>
              <w:jc w:val="center"/>
              <w:rPr>
                <w:b/>
              </w:rPr>
            </w:pPr>
            <w:r>
              <w:rPr>
                <w:b/>
              </w:rPr>
              <w:t>Number of securities underlying unexercised options unexercisable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8" w:type="dxa"/>
            <w:gridSpan w:val="2"/>
            <w:tcBorders>
              <w:bottom w:val="single" w:sz="12" w:space="0" w:color="000000"/>
            </w:tcBorders>
            <w:vAlign w:val="center"/>
          </w:tcPr>
          <w:p>
            <w:pPr>
              <w:pStyle w:val="TableContents"/>
              <w:bidi w:val="0"/>
              <w:spacing w:before="0" w:after="283"/>
              <w:jc w:val="center"/>
              <w:rPr>
                <w:b/>
              </w:rPr>
            </w:pPr>
            <w:r>
              <w:rPr>
                <w:b/>
              </w:rPr>
              <w:t xml:space="preserve">Equity incentive plan awards: Number of securities underlying unexercised unearned options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2" w:type="dxa"/>
            <w:gridSpan w:val="2"/>
            <w:tcBorders>
              <w:bottom w:val="single" w:sz="12" w:space="0" w:color="000000"/>
            </w:tcBorders>
            <w:vAlign w:val="center"/>
          </w:tcPr>
          <w:p>
            <w:pPr>
              <w:pStyle w:val="TableContents"/>
              <w:bidi w:val="0"/>
              <w:spacing w:before="0" w:after="283"/>
              <w:jc w:val="center"/>
              <w:rPr>
                <w:b/>
              </w:rPr>
            </w:pPr>
            <w:r>
              <w:rPr>
                <w:b/>
              </w:rPr>
              <w:t>Option exercise price</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6" w:type="dxa"/>
            <w:tcBorders>
              <w:bottom w:val="single" w:sz="12" w:space="0" w:color="000000"/>
            </w:tcBorders>
            <w:vAlign w:val="center"/>
          </w:tcPr>
          <w:p>
            <w:pPr>
              <w:pStyle w:val="TableContents"/>
              <w:bidi w:val="0"/>
              <w:spacing w:before="0" w:after="283"/>
              <w:jc w:val="center"/>
              <w:rPr>
                <w:b/>
              </w:rPr>
            </w:pPr>
            <w:r>
              <w:rPr>
                <w:b/>
              </w:rPr>
              <w:t xml:space="preserve">Option </w:t>
              <w:br/>
              <w:t>expiration</w:t>
              <w:br/>
              <w:t>date</w:t>
            </w:r>
          </w:p>
        </w:tc>
        <w:tc>
          <w:tcPr>
            <w:tcW w:w="60" w:type="dxa"/>
            <w:tcBorders/>
            <w:tcMar>
              <w:bottom w:w="0" w:type="dxa"/>
            </w:tcMar>
            <w:vAlign w:val="center"/>
          </w:tcPr>
          <w:p>
            <w:pPr>
              <w:pStyle w:val="TableContents"/>
              <w:bidi w:val="0"/>
              <w:spacing w:before="0" w:after="283"/>
              <w:jc w:val="left"/>
              <w:rPr/>
            </w:pPr>
            <w:r>
              <w:rPr/>
              <w:t> </w:t>
            </w:r>
          </w:p>
        </w:tc>
        <w:tc>
          <w:tcPr>
            <w:tcW w:w="967" w:type="dxa"/>
            <w:gridSpan w:val="2"/>
            <w:tcBorders>
              <w:bottom w:val="single" w:sz="12" w:space="0" w:color="000000"/>
            </w:tcBorders>
            <w:vAlign w:val="center"/>
          </w:tcPr>
          <w:p>
            <w:pPr>
              <w:pStyle w:val="TableContents"/>
              <w:bidi w:val="0"/>
              <w:spacing w:before="0" w:after="283"/>
              <w:jc w:val="center"/>
              <w:rPr>
                <w:b/>
              </w:rPr>
            </w:pPr>
            <w:r>
              <w:rPr>
                <w:b/>
              </w:rPr>
              <w:t xml:space="preserve">Number of shares or units of stock that have </w:t>
              <w:br/>
              <w:t>not 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2" w:type="dxa"/>
            <w:gridSpan w:val="2"/>
            <w:tcBorders>
              <w:bottom w:val="single" w:sz="12" w:space="0" w:color="000000"/>
            </w:tcBorders>
            <w:vAlign w:val="center"/>
          </w:tcPr>
          <w:p>
            <w:pPr>
              <w:pStyle w:val="TableContents"/>
              <w:bidi w:val="0"/>
              <w:spacing w:before="0" w:after="283"/>
              <w:jc w:val="center"/>
              <w:rPr>
                <w:b/>
              </w:rPr>
            </w:pPr>
            <w:r>
              <w:rPr>
                <w:b/>
              </w:rPr>
              <w:t xml:space="preserve">Market value of shares or units of stock that have not </w:t>
              <w:br/>
              <w:t>vested ($)</w:t>
            </w:r>
          </w:p>
        </w:tc>
        <w:tc>
          <w:tcPr>
            <w:tcW w:w="83" w:type="dxa"/>
            <w:tcBorders/>
            <w:tcMar>
              <w:bottom w:w="0" w:type="dxa"/>
            </w:tcMar>
            <w:vAlign w:val="center"/>
          </w:tcPr>
          <w:p>
            <w:pPr>
              <w:pStyle w:val="TableContents"/>
              <w:bidi w:val="0"/>
              <w:spacing w:before="0" w:after="283"/>
              <w:jc w:val="left"/>
              <w:rPr/>
            </w:pPr>
            <w:r>
              <w:rPr/>
              <w:t> </w:t>
            </w:r>
          </w:p>
        </w:tc>
      </w:tr>
      <w:tr>
        <w:trPr/>
        <w:tc>
          <w:tcPr>
            <w:tcW w:w="1272" w:type="dxa"/>
            <w:tcBorders/>
            <w:shd w:fill="CCEEFF" w:val="clear"/>
            <w:tcMar>
              <w:bottom w:w="0" w:type="dxa"/>
            </w:tcMar>
            <w:vAlign w:val="center"/>
          </w:tcPr>
          <w:p>
            <w:pPr>
              <w:pStyle w:val="TableContents"/>
              <w:bidi w:val="0"/>
              <w:spacing w:before="0" w:after="283"/>
              <w:jc w:val="left"/>
              <w:rPr/>
            </w:pPr>
            <w:r>
              <w:rPr/>
              <w:t>Geoffrey Dow,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right"/>
              <w:rPr/>
            </w:pPr>
            <w:r>
              <w:rPr/>
              <w:t> </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72" w:type="dxa"/>
            <w:tcBorders/>
            <w:shd w:fill="CCEEFF" w:val="clear"/>
            <w:tcMar>
              <w:bottom w:w="0" w:type="dxa"/>
            </w:tcMar>
            <w:vAlign w:val="center"/>
          </w:tcPr>
          <w:p>
            <w:pPr>
              <w:pStyle w:val="TableContents"/>
              <w:bidi w:val="0"/>
              <w:spacing w:before="0" w:after="283"/>
              <w:jc w:val="left"/>
              <w:rPr/>
            </w:pPr>
            <w:r>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707" w:type="dxa"/>
            <w:tcBorders/>
            <w:shd w:fill="CCEEFF" w:val="clear"/>
            <w:tcMar>
              <w:bottom w:w="0" w:type="dxa"/>
            </w:tcMar>
            <w:vAlign w:val="center"/>
          </w:tcPr>
          <w:p>
            <w:pPr>
              <w:pStyle w:val="TableContents"/>
              <w:bidi w:val="0"/>
              <w:spacing w:before="0" w:after="283"/>
              <w:jc w:val="right"/>
              <w:rPr/>
            </w:pPr>
            <w:r>
              <w:rPr/>
              <w:t>240.00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center"/>
              <w:rPr/>
            </w:pPr>
            <w:r>
              <w:rPr/>
              <w:t>July 16, 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72" w:type="dxa"/>
            <w:tcBorders/>
            <w:shd w:fill="CCEEFF" w:val="clear"/>
            <w:tcMar>
              <w:bottom w:w="0" w:type="dxa"/>
            </w:tcMar>
            <w:vAlign w:val="center"/>
          </w:tcPr>
          <w:p>
            <w:pPr>
              <w:pStyle w:val="TableContents"/>
              <w:bidi w:val="0"/>
              <w:spacing w:before="0" w:after="283"/>
              <w:jc w:val="left"/>
              <w:rPr/>
            </w:pPr>
            <w:r>
              <w:rPr/>
              <w:t>(Principal Executive Officer)</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10,500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15,750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707" w:type="dxa"/>
            <w:tcBorders/>
            <w:shd w:fill="CCEEFF" w:val="clear"/>
            <w:tcMar>
              <w:bottom w:w="0" w:type="dxa"/>
            </w:tcMar>
            <w:vAlign w:val="center"/>
          </w:tcPr>
          <w:p>
            <w:pPr>
              <w:pStyle w:val="TableContents"/>
              <w:bidi w:val="0"/>
              <w:spacing w:before="0" w:after="283"/>
              <w:jc w:val="right"/>
              <w:rPr/>
            </w:pPr>
            <w:r>
              <w:rPr/>
              <w:t>26.20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center"/>
              <w:rPr/>
            </w:pPr>
            <w:r>
              <w:rPr/>
              <w:t>January 2, 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272" w:type="dxa"/>
            <w:tcBorders/>
            <w:shd w:fill="FFFFFF" w:val="clear"/>
            <w:tcMar>
              <w:bottom w:w="0" w:type="dxa"/>
            </w:tcMar>
            <w:vAlign w:val="center"/>
          </w:tcPr>
          <w:p>
            <w:pPr>
              <w:pStyle w:val="TableContents"/>
              <w:bidi w:val="0"/>
              <w:spacing w:before="0" w:after="283"/>
              <w:jc w:val="left"/>
              <w:rPr/>
            </w:pPr>
            <w:r>
              <w:rPr/>
              <w:t>Tyrone Miller,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7"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right"/>
              <w:rPr/>
            </w:pPr>
            <w:r>
              <w:rPr/>
              <w:t> </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72" w:type="dxa"/>
            <w:tcBorders/>
            <w:shd w:fill="FFFFFF" w:val="clear"/>
            <w:tcMar>
              <w:bottom w:w="0" w:type="dxa"/>
            </w:tcMar>
            <w:vAlign w:val="center"/>
          </w:tcPr>
          <w:p>
            <w:pPr>
              <w:pStyle w:val="TableContents"/>
              <w:bidi w:val="0"/>
              <w:spacing w:before="0" w:after="283"/>
              <w:jc w:val="left"/>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707" w:type="dxa"/>
            <w:tcBorders/>
            <w:shd w:fill="FFFFFF" w:val="clear"/>
            <w:tcMar>
              <w:bottom w:w="0" w:type="dxa"/>
            </w:tcMar>
            <w:vAlign w:val="center"/>
          </w:tcPr>
          <w:p>
            <w:pPr>
              <w:pStyle w:val="TableContents"/>
              <w:bidi w:val="0"/>
              <w:spacing w:before="0" w:after="283"/>
              <w:jc w:val="right"/>
              <w:rPr/>
            </w:pPr>
            <w:r>
              <w:rPr/>
              <w:t>240.00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6" w:type="dxa"/>
            <w:tcBorders/>
            <w:shd w:fill="FFFFFF" w:val="clear"/>
            <w:tcMar>
              <w:bottom w:w="0" w:type="dxa"/>
            </w:tcMar>
            <w:vAlign w:val="center"/>
          </w:tcPr>
          <w:p>
            <w:pPr>
              <w:pStyle w:val="TableContents"/>
              <w:bidi w:val="0"/>
              <w:spacing w:before="0" w:after="283"/>
              <w:jc w:val="center"/>
              <w:rPr/>
            </w:pPr>
            <w:r>
              <w:rPr/>
              <w:t>July 16, 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7" w:type="dxa"/>
            <w:tcBorders/>
            <w:shd w:fill="FFFFFF" w:val="clear"/>
            <w:tcMar>
              <w:bottom w:w="0" w:type="dxa"/>
            </w:tcMar>
            <w:vAlign w:val="center"/>
          </w:tcPr>
          <w:p>
            <w:pPr>
              <w:pStyle w:val="TableContents"/>
              <w:bidi w:val="0"/>
              <w:spacing w:before="0" w:after="283"/>
              <w:jc w:val="left"/>
              <w:rPr/>
            </w:pPr>
            <w:r>
              <w:rPr/>
              <w:t>$</w:t>
            </w:r>
          </w:p>
        </w:tc>
        <w:tc>
          <w:tcPr>
            <w:tcW w:w="365" w:type="dxa"/>
            <w:tcBorders/>
            <w:shd w:fill="FFFFFF" w:val="clear"/>
            <w:tcMar>
              <w:bottom w:w="0" w:type="dxa"/>
            </w:tcMar>
            <w:vAlign w:val="center"/>
          </w:tcPr>
          <w:p>
            <w:pPr>
              <w:pStyle w:val="TableContents"/>
              <w:bidi w:val="0"/>
              <w:spacing w:before="0" w:after="283"/>
              <w:jc w:val="right"/>
              <w:rPr/>
            </w:pPr>
            <w:r>
              <w:rPr/>
              <w:t>-</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72" w:type="dxa"/>
            <w:tcBorders/>
            <w:shd w:fill="FFFFFF" w:val="clear"/>
            <w:tcMar>
              <w:bottom w:w="0" w:type="dxa"/>
            </w:tcMar>
            <w:vAlign w:val="center"/>
          </w:tcPr>
          <w:p>
            <w:pPr>
              <w:pStyle w:val="TableContents"/>
              <w:bidi w:val="0"/>
              <w:spacing w:before="0" w:after="283"/>
              <w:jc w:val="left"/>
              <w:rPr/>
            </w:pPr>
            <w:r>
              <w:rPr/>
              <w:t>(Principal Financial and Accounting Officer)</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2,250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707" w:type="dxa"/>
            <w:tcBorders/>
            <w:shd w:fill="FFFFFF" w:val="clear"/>
            <w:tcMar>
              <w:bottom w:w="0" w:type="dxa"/>
            </w:tcMar>
            <w:vAlign w:val="center"/>
          </w:tcPr>
          <w:p>
            <w:pPr>
              <w:pStyle w:val="TableContents"/>
              <w:bidi w:val="0"/>
              <w:spacing w:before="0" w:after="283"/>
              <w:jc w:val="right"/>
              <w:rPr/>
            </w:pPr>
            <w:r>
              <w:rPr/>
              <w:t>26.20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6" w:type="dxa"/>
            <w:tcBorders/>
            <w:shd w:fill="FFFFFF" w:val="clear"/>
            <w:tcMar>
              <w:bottom w:w="0" w:type="dxa"/>
            </w:tcMar>
            <w:vAlign w:val="center"/>
          </w:tcPr>
          <w:p>
            <w:pPr>
              <w:pStyle w:val="TableContents"/>
              <w:bidi w:val="0"/>
              <w:spacing w:before="0" w:after="283"/>
              <w:jc w:val="center"/>
              <w:rPr/>
            </w:pPr>
            <w:r>
              <w:rPr/>
              <w:t>January 2, 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7" w:type="dxa"/>
            <w:tcBorders/>
            <w:shd w:fill="FFFFFF" w:val="clear"/>
            <w:tcMar>
              <w:bottom w:w="0" w:type="dxa"/>
            </w:tcMar>
            <w:vAlign w:val="center"/>
          </w:tcPr>
          <w:p>
            <w:pPr>
              <w:pStyle w:val="TableContents"/>
              <w:bidi w:val="0"/>
              <w:spacing w:before="0" w:after="283"/>
              <w:jc w:val="left"/>
              <w:rPr/>
            </w:pPr>
            <w:r>
              <w:rPr/>
              <w:t>$</w:t>
            </w:r>
          </w:p>
        </w:tc>
        <w:tc>
          <w:tcPr>
            <w:tcW w:w="365" w:type="dxa"/>
            <w:tcBorders/>
            <w:shd w:fill="FFFFFF" w:val="clear"/>
            <w:tcMar>
              <w:bottom w:w="0" w:type="dxa"/>
            </w:tcMar>
            <w:vAlign w:val="center"/>
          </w:tcPr>
          <w:p>
            <w:pPr>
              <w:pStyle w:val="TableContents"/>
              <w:bidi w:val="0"/>
              <w:spacing w:before="0" w:after="283"/>
              <w:jc w:val="righ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272" w:type="dxa"/>
            <w:tcBorders/>
            <w:shd w:fill="CCEEFF" w:val="clear"/>
            <w:tcMar>
              <w:bottom w:w="0" w:type="dxa"/>
            </w:tcMar>
            <w:vAlign w:val="center"/>
          </w:tcPr>
          <w:p>
            <w:pPr>
              <w:pStyle w:val="TableContents"/>
              <w:bidi w:val="0"/>
              <w:spacing w:before="0" w:after="283"/>
              <w:jc w:val="left"/>
              <w:rPr/>
            </w:pPr>
            <w:r>
              <w:rPr/>
              <w:t>Kristen Landon,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right"/>
              <w:rPr/>
            </w:pPr>
            <w:r>
              <w:rPr/>
              <w:t> </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72" w:type="dxa"/>
            <w:tcBorders/>
            <w:shd w:fill="CCEEFF" w:val="clear"/>
            <w:tcMar>
              <w:bottom w:w="0" w:type="dxa"/>
            </w:tcMar>
            <w:vAlign w:val="center"/>
          </w:tcPr>
          <w:p>
            <w:pPr>
              <w:pStyle w:val="TableContents"/>
              <w:bidi w:val="0"/>
              <w:spacing w:before="0" w:after="283"/>
              <w:jc w:val="left"/>
              <w:rPr/>
            </w:pPr>
            <w:r>
              <w:rPr/>
              <w:t>Chief Commercial Officer</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707" w:type="dxa"/>
            <w:tcBorders/>
            <w:shd w:fill="CCEEFF" w:val="clear"/>
            <w:tcMar>
              <w:bottom w:w="0" w:type="dxa"/>
            </w:tcMar>
            <w:vAlign w:val="center"/>
          </w:tcPr>
          <w:p>
            <w:pPr>
              <w:pStyle w:val="TableContents"/>
              <w:bidi w:val="0"/>
              <w:spacing w:before="0" w:after="283"/>
              <w:jc w:val="right"/>
              <w:rPr/>
            </w:pPr>
            <w:r>
              <w:rPr/>
              <w:t>27.40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center"/>
              <w:rPr/>
            </w:pPr>
            <w:r>
              <w:rPr/>
              <w:t>September 26, 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7"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(1)</w:t>
            </w:r>
          </w:p>
        </w:tc>
        <w:tc>
          <w:tcPr>
            <w:tcW w:w="9966" w:type="dxa"/>
            <w:tcBorders/>
            <w:vAlign w:val="center"/>
          </w:tcPr>
          <w:p>
            <w:pPr>
              <w:pStyle w:val="TableContents"/>
              <w:bidi w:val="0"/>
              <w:spacing w:before="0" w:after="283"/>
              <w:jc w:val="both"/>
              <w:rPr>
                <w:sz w:val="20"/>
              </w:rPr>
            </w:pPr>
            <w:r>
              <w:rPr>
                <w:sz w:val="20"/>
              </w:rPr>
              <w:t>Dr. Dow’s option grant to purchase a total of 1,250 shares of our common stock vests annually on the last date of each fiscal year in five equal tranches, with the first vesting date being December 31, 2024, and Dr. Dow’s option grant to purchase a total of 26,250 shares of our common stock vests annually on the last date of each fiscal year in five equal tranches, with the first vesting date being December 31, 2024.</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(2)</w:t>
            </w:r>
          </w:p>
        </w:tc>
        <w:tc>
          <w:tcPr>
            <w:tcW w:w="9966" w:type="dxa"/>
            <w:tcBorders/>
            <w:vAlign w:val="center"/>
          </w:tcPr>
          <w:p>
            <w:pPr>
              <w:pStyle w:val="TableContents"/>
              <w:bidi w:val="0"/>
              <w:spacing w:before="0" w:after="283"/>
              <w:jc w:val="both"/>
              <w:rPr>
                <w:sz w:val="20"/>
              </w:rPr>
            </w:pPr>
            <w:r>
              <w:rPr>
                <w:sz w:val="20"/>
              </w:rPr>
              <w:t>Mr. Miller’s option grant to purchase a total of 1,000 shares of our common stock vests annually on the last date of each fiscal year in five equal tranches, with the first vesting date being December 31, 2024, and Mr. Miller’s option grant to purchase a total of 3,750 shares of our common stock vests annually on the last date of each fiscal year in five equal tranches, with the first vesting date being December 31, 2024.</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(3)</w:t>
            </w:r>
          </w:p>
        </w:tc>
        <w:tc>
          <w:tcPr>
            <w:tcW w:w="9947" w:type="dxa"/>
            <w:tcBorders/>
            <w:vAlign w:val="center"/>
          </w:tcPr>
          <w:p>
            <w:pPr>
              <w:pStyle w:val="TableContents"/>
              <w:bidi w:val="0"/>
              <w:spacing w:before="0" w:after="283"/>
              <w:jc w:val="both"/>
              <w:rPr>
                <w:sz w:val="20"/>
              </w:rPr>
            </w:pPr>
            <w:r>
              <w:rPr>
                <w:sz w:val="20"/>
              </w:rPr>
              <w:t>Ms. Landon’s options to purchase a total of 1,042 shares of our common stock vest annually on the last date of each fiscal year in five equal tranches, with the first vesting date being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requires our directors, executive officers and persons who own more than 10% of the outstanding shares of common stock of the Company to file with the SEC reports of their ownership and changes in their ownership of common stock of the Company. Directors, executive officers and greater-than-ten percent shareholders are also required to furnish the Company with copies of all ownership reports they file with the SEC. To our knowledge, based solely on a review of the copies of such reports furnished to the Company, Geoffrey Dow filed an incorrect Form 4 on September 15, 2025, which was corrected on March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our only outstanding class of voting stock, known by us as of the Record Date, by:</w:t>
      </w:r>
    </w:p>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each person or entity known by us to be the beneficial owner of more than 5%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each of our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each of our executive officers;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all of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thus, represents voting or investment power with respect to our securities as of the Record Date. In computing the number and percentage of shares beneficially owned by a person, shares that may be acquired by such person within 60 days of the Record Date are counted as outstanding, while these shares are not counted as outstanding for computing the percentage ownership of any other person. Except as otherwise indicated, the persons listed below have sole voting and investment power with respect to all shares of our common stock owned by them, except to the extent such power may be shared with a spouse. Unless otherwise noted, the address of each person below is c/o 60 Degrees Pharmaceuticals, Inc., 1025 Connecticut Avenue NW Suite 1000, Washington, D.C. 20036.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31"/>
        <w:gridCol w:w="60"/>
        <w:gridCol w:w="3034"/>
        <w:gridCol w:w="60"/>
        <w:gridCol w:w="181"/>
        <w:gridCol w:w="2075"/>
        <w:gridCol w:w="251"/>
        <w:gridCol w:w="60"/>
        <w:gridCol w:w="152"/>
        <w:gridCol w:w="1122"/>
        <w:gridCol w:w="279"/>
      </w:tblGrid>
      <w:tr>
        <w:trPr/>
        <w:tc>
          <w:tcPr>
            <w:tcW w:w="293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3034"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225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Beneficially Owned</w:t>
            </w:r>
          </w:p>
        </w:tc>
        <w:tc>
          <w:tcPr>
            <w:tcW w:w="25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4" w:type="dxa"/>
            <w:gridSpan w:val="2"/>
            <w:tcBorders>
              <w:bottom w:val="single" w:sz="12" w:space="0" w:color="000000"/>
            </w:tcBorders>
            <w:vAlign w:val="center"/>
          </w:tcPr>
          <w:p>
            <w:pPr>
              <w:pStyle w:val="TableContents"/>
              <w:bidi w:val="0"/>
              <w:spacing w:before="0" w:after="283"/>
              <w:jc w:val="center"/>
              <w:rPr>
                <w:b/>
              </w:rPr>
            </w:pPr>
            <w:r>
              <w:rPr>
                <w:b/>
              </w:rPr>
              <w:t>Percent of Class</w:t>
            </w:r>
          </w:p>
        </w:tc>
        <w:tc>
          <w:tcPr>
            <w:tcW w:w="279" w:type="dxa"/>
            <w:tcBorders/>
            <w:tcMar>
              <w:bottom w:w="0" w:type="dxa"/>
            </w:tcMar>
            <w:vAlign w:val="center"/>
          </w:tcPr>
          <w:p>
            <w:pPr>
              <w:pStyle w:val="TableContents"/>
              <w:bidi w:val="0"/>
              <w:spacing w:before="0" w:after="283"/>
              <w:jc w:val="left"/>
              <w:rPr/>
            </w:pPr>
            <w:r>
              <w:rPr/>
              <w:t> </w:t>
            </w:r>
          </w:p>
        </w:tc>
      </w:tr>
      <w:tr>
        <w:trPr/>
        <w:tc>
          <w:tcPr>
            <w:tcW w:w="2931" w:type="dxa"/>
            <w:tcBorders/>
            <w:tcMar>
              <w:bottom w:w="0" w:type="dxa"/>
            </w:tcMar>
            <w:vAlign w:val="center"/>
          </w:tcPr>
          <w:p>
            <w:pPr>
              <w:pStyle w:val="TableContents"/>
              <w:bidi w:val="0"/>
              <w:spacing w:before="0" w:after="283"/>
              <w:jc w:val="left"/>
              <w:rPr>
                <w:b/>
              </w:rPr>
            </w:pPr>
            <w:r>
              <w:rPr>
                <w:b/>
              </w:rPr>
              <w:t>Officers and Directors</w:t>
            </w:r>
          </w:p>
        </w:tc>
        <w:tc>
          <w:tcPr>
            <w:tcW w:w="60" w:type="dxa"/>
            <w:tcBorders/>
            <w:tcMar>
              <w:bottom w:w="0" w:type="dxa"/>
            </w:tcMar>
            <w:vAlign w:val="center"/>
          </w:tcPr>
          <w:p>
            <w:pPr>
              <w:pStyle w:val="TableContents"/>
              <w:bidi w:val="0"/>
              <w:spacing w:before="0" w:after="283"/>
              <w:jc w:val="left"/>
              <w:rPr/>
            </w:pPr>
            <w:r>
              <w:rPr/>
              <w:t> </w:t>
            </w:r>
          </w:p>
        </w:tc>
        <w:tc>
          <w:tcPr>
            <w:tcW w:w="303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256" w:type="dxa"/>
            <w:gridSpan w:val="2"/>
            <w:tcBorders/>
            <w:tcMar>
              <w:bottom w:w="0" w:type="dxa"/>
            </w:tcMar>
            <w:vAlign w:val="center"/>
          </w:tcPr>
          <w:p>
            <w:pPr>
              <w:pStyle w:val="TableContents"/>
              <w:bidi w:val="0"/>
              <w:spacing w:before="0" w:after="283"/>
              <w:jc w:val="left"/>
              <w:rPr/>
            </w:pPr>
            <w:r>
              <w:rPr/>
              <w:t> </w:t>
            </w:r>
          </w:p>
        </w:tc>
        <w:tc>
          <w:tcPr>
            <w:tcW w:w="25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4" w:type="dxa"/>
            <w:gridSpan w:val="2"/>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r>
      <w:tr>
        <w:trPr/>
        <w:tc>
          <w:tcPr>
            <w:tcW w:w="2931" w:type="dxa"/>
            <w:tcBorders/>
            <w:shd w:fill="CCEEFF" w:val="clear"/>
            <w:tcMar>
              <w:bottom w:w="0" w:type="dxa"/>
            </w:tcMar>
            <w:vAlign w:val="center"/>
          </w:tcPr>
          <w:p>
            <w:pPr>
              <w:pStyle w:val="TableContents"/>
              <w:bidi w:val="0"/>
              <w:spacing w:before="0" w:after="283"/>
              <w:jc w:val="left"/>
              <w:rPr/>
            </w:pPr>
            <w:r>
              <w:rPr/>
              <w:t>Geoffrey Dow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4" w:type="dxa"/>
            <w:tcBorders/>
            <w:shd w:fill="CCEEFF" w:val="clear"/>
            <w:tcMar>
              <w:bottom w:w="0" w:type="dxa"/>
            </w:tcMar>
            <w:vAlign w:val="center"/>
          </w:tcPr>
          <w:p>
            <w:pPr>
              <w:pStyle w:val="TableContents"/>
              <w:bidi w:val="0"/>
              <w:spacing w:before="0" w:after="283"/>
              <w:jc w:val="center"/>
              <w:rPr/>
            </w:pPr>
            <w:r>
              <w:rPr/>
              <w:t>President, 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right"/>
              <w:rPr/>
            </w:pPr>
            <w:r>
              <w:rPr/>
              <w:t>27,825</w:t>
            </w:r>
          </w:p>
        </w:tc>
        <w:tc>
          <w:tcPr>
            <w:tcW w:w="251" w:type="dxa"/>
            <w:tcBorders/>
            <w:shd w:fill="CCEEFF" w:val="clear"/>
            <w:tcMar>
              <w:bottom w:w="0" w:type="dxa"/>
            </w:tcMar>
            <w:vAlign w:val="center"/>
          </w:tcPr>
          <w:p>
            <w:pPr>
              <w:pStyle w:val="TableContents"/>
              <w:bidi w:val="0"/>
              <w:spacing w:before="0" w:after="283"/>
              <w:jc w:val="left"/>
              <w:rPr/>
            </w:pPr>
            <w:r>
              <w:rPr>
                <w:position w:val="8"/>
                <w:sz w:val="19"/>
              </w:rPr>
              <w:t>(2)</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1.04</w:t>
            </w:r>
          </w:p>
        </w:tc>
        <w:tc>
          <w:tcPr>
            <w:tcW w:w="279" w:type="dxa"/>
            <w:tcBorders/>
            <w:shd w:fill="CCEEFF" w:val="clear"/>
            <w:tcMar>
              <w:bottom w:w="0" w:type="dxa"/>
            </w:tcMar>
            <w:vAlign w:val="center"/>
          </w:tcPr>
          <w:p>
            <w:pPr>
              <w:pStyle w:val="TableContents"/>
              <w:bidi w:val="0"/>
              <w:spacing w:before="0" w:after="283"/>
              <w:jc w:val="left"/>
              <w:rPr/>
            </w:pPr>
            <w:r>
              <w:rPr/>
              <w:t>%</w:t>
            </w:r>
          </w:p>
        </w:tc>
      </w:tr>
      <w:tr>
        <w:trPr/>
        <w:tc>
          <w:tcPr>
            <w:tcW w:w="2931" w:type="dxa"/>
            <w:tcBorders/>
            <w:shd w:fill="FFFFFF" w:val="clear"/>
            <w:tcMar>
              <w:bottom w:w="0" w:type="dxa"/>
            </w:tcMar>
            <w:vAlign w:val="center"/>
          </w:tcPr>
          <w:p>
            <w:pPr>
              <w:pStyle w:val="TableContents"/>
              <w:bidi w:val="0"/>
              <w:spacing w:before="0" w:after="283"/>
              <w:jc w:val="left"/>
              <w:rPr/>
            </w:pPr>
            <w:r>
              <w:rPr/>
              <w:t>Tyrone Miller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4" w:type="dxa"/>
            <w:tcBorders/>
            <w:shd w:fill="FFFFFF" w:val="clear"/>
            <w:tcMar>
              <w:bottom w:w="0" w:type="dxa"/>
            </w:tcMar>
            <w:vAlign w:val="center"/>
          </w:tcPr>
          <w:p>
            <w:pPr>
              <w:pStyle w:val="TableContents"/>
              <w:bidi w:val="0"/>
              <w:spacing w:before="0" w:after="283"/>
              <w:jc w:val="center"/>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right"/>
              <w:rPr/>
            </w:pPr>
            <w:r>
              <w:rPr/>
              <w:t>3,219</w:t>
            </w:r>
          </w:p>
        </w:tc>
        <w:tc>
          <w:tcPr>
            <w:tcW w:w="251"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r>
      <w:tr>
        <w:trPr/>
        <w:tc>
          <w:tcPr>
            <w:tcW w:w="2931" w:type="dxa"/>
            <w:tcBorders/>
            <w:shd w:fill="CCEEFF" w:val="clear"/>
            <w:tcMar>
              <w:bottom w:w="0" w:type="dxa"/>
            </w:tcMar>
            <w:vAlign w:val="center"/>
          </w:tcPr>
          <w:p>
            <w:pPr>
              <w:pStyle w:val="TableContents"/>
              <w:bidi w:val="0"/>
              <w:spacing w:before="0" w:after="283"/>
              <w:jc w:val="left"/>
              <w:rPr/>
            </w:pPr>
            <w:r>
              <w:rPr/>
              <w:t>Kristen Landon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4" w:type="dxa"/>
            <w:tcBorders/>
            <w:shd w:fill="CCEEFF" w:val="clear"/>
            <w:tcMar>
              <w:bottom w:w="0" w:type="dxa"/>
            </w:tcMar>
            <w:vAlign w:val="center"/>
          </w:tcPr>
          <w:p>
            <w:pPr>
              <w:pStyle w:val="TableContents"/>
              <w:bidi w:val="0"/>
              <w:spacing w:before="0" w:after="283"/>
              <w:jc w:val="center"/>
              <w:rPr/>
            </w:pPr>
            <w:r>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right"/>
              <w:rPr/>
            </w:pPr>
            <w:r>
              <w:rPr/>
              <w:t>1,553</w:t>
            </w:r>
          </w:p>
        </w:tc>
        <w:tc>
          <w:tcPr>
            <w:tcW w:w="251" w:type="dxa"/>
            <w:tcBorders/>
            <w:shd w:fill="CCEE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r>
      <w:tr>
        <w:trPr/>
        <w:tc>
          <w:tcPr>
            <w:tcW w:w="2931" w:type="dxa"/>
            <w:tcBorders/>
            <w:shd w:fill="FFFFFF" w:val="clear"/>
            <w:tcMar>
              <w:bottom w:w="0" w:type="dxa"/>
            </w:tcMar>
            <w:vAlign w:val="center"/>
          </w:tcPr>
          <w:p>
            <w:pPr>
              <w:pStyle w:val="TableContents"/>
              <w:bidi w:val="0"/>
              <w:spacing w:before="0" w:after="283"/>
              <w:jc w:val="left"/>
              <w:rPr/>
            </w:pPr>
            <w:r>
              <w:rPr/>
              <w:t>Charles Allen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4"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right"/>
              <w:rPr/>
            </w:pPr>
            <w:r>
              <w:rPr/>
              <w:t>2,131</w:t>
            </w:r>
          </w:p>
        </w:tc>
        <w:tc>
          <w:tcPr>
            <w:tcW w:w="251" w:type="dxa"/>
            <w:tcBorders/>
            <w:shd w:fill="FFFFFF" w:val="clear"/>
            <w:tcMar>
              <w:bottom w:w="0" w:type="dxa"/>
            </w:tcMar>
            <w:vAlign w:val="center"/>
          </w:tcPr>
          <w:p>
            <w:pPr>
              <w:pStyle w:val="TableContents"/>
              <w:bidi w:val="0"/>
              <w:spacing w:before="0" w:after="283"/>
              <w:jc w:val="left"/>
              <w:rPr/>
            </w:pPr>
            <w:r>
              <w:rPr>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r>
      <w:tr>
        <w:trPr/>
        <w:tc>
          <w:tcPr>
            <w:tcW w:w="2931" w:type="dxa"/>
            <w:tcBorders/>
            <w:shd w:fill="CCEEFF" w:val="clear"/>
            <w:tcMar>
              <w:bottom w:w="0" w:type="dxa"/>
            </w:tcMar>
            <w:vAlign w:val="center"/>
          </w:tcPr>
          <w:p>
            <w:pPr>
              <w:pStyle w:val="TableContents"/>
              <w:bidi w:val="0"/>
              <w:spacing w:before="0" w:after="283"/>
              <w:jc w:val="left"/>
              <w:rPr/>
            </w:pPr>
            <w:r>
              <w:rPr/>
              <w:t>Cheryl Xu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4" w:type="dxa"/>
            <w:tcBorders/>
            <w:shd w:fill="CCEEFF" w:val="clear"/>
            <w:tcMar>
              <w:bottom w:w="0" w:type="dxa"/>
            </w:tcMar>
            <w:vAlign w:val="center"/>
          </w:tcPr>
          <w:p>
            <w:pPr>
              <w:pStyle w:val="TableContents"/>
              <w:bidi w:val="0"/>
              <w:spacing w:before="0" w:after="283"/>
              <w:jc w:val="center"/>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right"/>
              <w:rPr/>
            </w:pPr>
            <w:r>
              <w:rPr/>
              <w:t>6,026</w:t>
            </w:r>
          </w:p>
        </w:tc>
        <w:tc>
          <w:tcPr>
            <w:tcW w:w="251" w:type="dxa"/>
            <w:tcBorders/>
            <w:shd w:fill="CCEEFF" w:val="clear"/>
            <w:tcMar>
              <w:bottom w:w="0" w:type="dxa"/>
            </w:tcMar>
            <w:vAlign w:val="center"/>
          </w:tcPr>
          <w:p>
            <w:pPr>
              <w:pStyle w:val="TableContents"/>
              <w:bidi w:val="0"/>
              <w:spacing w:before="0" w:after="283"/>
              <w:jc w:val="left"/>
              <w:rPr/>
            </w:pPr>
            <w:r>
              <w:rPr>
                <w:position w:val="8"/>
                <w:sz w:val="19"/>
              </w:rPr>
              <w:t>(6)</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r>
      <w:tr>
        <w:trPr/>
        <w:tc>
          <w:tcPr>
            <w:tcW w:w="2931" w:type="dxa"/>
            <w:tcBorders/>
            <w:shd w:fill="FFFFFF" w:val="clear"/>
            <w:tcMar>
              <w:bottom w:w="0" w:type="dxa"/>
            </w:tcMar>
            <w:vAlign w:val="center"/>
          </w:tcPr>
          <w:p>
            <w:pPr>
              <w:pStyle w:val="TableContents"/>
              <w:bidi w:val="0"/>
              <w:spacing w:before="0" w:after="283"/>
              <w:jc w:val="left"/>
              <w:rPr/>
            </w:pPr>
            <w:r>
              <w:rPr/>
              <w:t>Stephen Toovey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4" w:type="dxa"/>
            <w:tcBorders/>
            <w:shd w:fill="FFFFFF" w:val="clear"/>
            <w:tcMar>
              <w:bottom w:w="0" w:type="dxa"/>
            </w:tcMar>
            <w:vAlign w:val="center"/>
          </w:tcPr>
          <w:p>
            <w:pPr>
              <w:pStyle w:val="TableContents"/>
              <w:bidi w:val="0"/>
              <w:spacing w:before="0" w:after="283"/>
              <w:jc w:val="center"/>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right"/>
              <w:rPr/>
            </w:pPr>
            <w:r>
              <w:rPr/>
              <w:t>2,131</w:t>
            </w:r>
          </w:p>
        </w:tc>
        <w:tc>
          <w:tcPr>
            <w:tcW w:w="251" w:type="dxa"/>
            <w:tcBorders/>
            <w:shd w:fill="FFFFFF" w:val="clear"/>
            <w:tcMar>
              <w:bottom w:w="0" w:type="dxa"/>
            </w:tcMar>
            <w:vAlign w:val="center"/>
          </w:tcPr>
          <w:p>
            <w:pPr>
              <w:pStyle w:val="TableContents"/>
              <w:bidi w:val="0"/>
              <w:spacing w:before="0" w:after="283"/>
              <w:jc w:val="left"/>
              <w:rPr/>
            </w:pPr>
            <w:r>
              <w:rPr>
                <w:position w:val="8"/>
                <w:sz w:val="19"/>
              </w:rPr>
              <w:t>(7)</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r>
      <w:tr>
        <w:trPr/>
        <w:tc>
          <w:tcPr>
            <w:tcW w:w="2931" w:type="dxa"/>
            <w:tcBorders/>
            <w:shd w:fill="CCEEFF" w:val="clear"/>
            <w:tcMar>
              <w:bottom w:w="0" w:type="dxa"/>
            </w:tcMar>
            <w:vAlign w:val="center"/>
          </w:tcPr>
          <w:p>
            <w:pPr>
              <w:pStyle w:val="TableContents"/>
              <w:bidi w:val="0"/>
              <w:spacing w:before="0" w:after="283"/>
              <w:jc w:val="left"/>
              <w:rPr/>
            </w:pPr>
            <w:r>
              <w:rPr/>
              <w:t>Paul Field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4" w:type="dxa"/>
            <w:tcBorders/>
            <w:shd w:fill="CCEEFF" w:val="clear"/>
            <w:tcMar>
              <w:bottom w:w="0" w:type="dxa"/>
            </w:tcMar>
            <w:vAlign w:val="center"/>
          </w:tcPr>
          <w:p>
            <w:pPr>
              <w:pStyle w:val="TableContents"/>
              <w:bidi w:val="0"/>
              <w:spacing w:before="0" w:after="283"/>
              <w:jc w:val="center"/>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right"/>
              <w:rPr/>
            </w:pPr>
            <w:r>
              <w:rPr/>
              <w:t>2,131</w:t>
            </w:r>
          </w:p>
        </w:tc>
        <w:tc>
          <w:tcPr>
            <w:tcW w:w="251" w:type="dxa"/>
            <w:tcBorders/>
            <w:shd w:fill="CCEEFF" w:val="clear"/>
            <w:tcMar>
              <w:bottom w:w="0" w:type="dxa"/>
            </w:tcMar>
            <w:vAlign w:val="center"/>
          </w:tcPr>
          <w:p>
            <w:pPr>
              <w:pStyle w:val="TableContents"/>
              <w:bidi w:val="0"/>
              <w:spacing w:before="0" w:after="283"/>
              <w:jc w:val="left"/>
              <w:rPr/>
            </w:pPr>
            <w:r>
              <w:rPr>
                <w:position w:val="8"/>
                <w:sz w:val="19"/>
              </w:rPr>
              <w:t>(8)</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r>
      <w:tr>
        <w:trPr/>
        <w:tc>
          <w:tcPr>
            <w:tcW w:w="2931"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and Directors as a Group (total of 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right"/>
              <w:rPr>
                <w:b/>
              </w:rPr>
            </w:pPr>
            <w:r>
              <w:rPr>
                <w:b/>
              </w:rPr>
              <w:t>45,016</w:t>
            </w:r>
          </w:p>
        </w:tc>
        <w:tc>
          <w:tcPr>
            <w:tcW w:w="2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b/>
              </w:rPr>
            </w:pPr>
            <w:r>
              <w:rPr>
                <w:b/>
              </w:rPr>
              <w:t>1.68</w:t>
            </w:r>
          </w:p>
        </w:tc>
        <w:tc>
          <w:tcPr>
            <w:tcW w:w="279"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14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(1)</w:t>
            </w:r>
          </w:p>
        </w:tc>
        <w:tc>
          <w:tcPr>
            <w:tcW w:w="9973" w:type="dxa"/>
            <w:tcBorders/>
            <w:vAlign w:val="center"/>
          </w:tcPr>
          <w:p>
            <w:pPr>
              <w:pStyle w:val="TableContents"/>
              <w:bidi w:val="0"/>
              <w:spacing w:before="0" w:after="283"/>
              <w:jc w:val="both"/>
              <w:rPr/>
            </w:pPr>
            <w:r>
              <w:rPr/>
              <w:t>Percentages based on 2,659,288 shares of common stock issued and outstanding as of July 2, 2026 plus shares of common stock the person has the right to acquire within 60 days thereafter. Unless otherwise indicated, the principal address of the named executives and directors is c/o 1025 Connecticut Avenue NW Suite 1000, Washington, D.C. 20036. On January 20, 2026, the Company effectuated a 1-for-4 Reverse Stock Split of its outstanding common stock. Accordingly, all share numbers presented in this table have been adjusted to reflect the 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(2)</w:t>
            </w:r>
          </w:p>
        </w:tc>
        <w:tc>
          <w:tcPr>
            <w:tcW w:w="9972" w:type="dxa"/>
            <w:tcBorders/>
            <w:vAlign w:val="center"/>
          </w:tcPr>
          <w:p>
            <w:pPr>
              <w:pStyle w:val="TableContents"/>
              <w:bidi w:val="0"/>
              <w:spacing w:before="0" w:after="283"/>
              <w:jc w:val="both"/>
              <w:rPr>
                <w:sz w:val="20"/>
              </w:rPr>
            </w:pPr>
            <w:r>
              <w:rPr>
                <w:sz w:val="20"/>
              </w:rPr>
              <w:t>Includes (i) 14,001 shares of our common stock held in the name of Geoffrey Dow, (ii) 2,780 shares of common stock held by the Geoffrey S. Dow Revocable Trust (the “Dow Trust”), of which Geoffrey Dow is the trustee and has control over the voting and disposition of the shares of common stock held by the Dow Trust, (iii) 44 shares of common stock issuable upon exercise of warrants issued to the Geoffrey S. Dow Revocable Trust, (iv) 500 shares underlying fully vested options exercisable into common stock at a per share exercise price of $240.00, and (v) 10,500 shares underlying fully vested options exercisable into common stock at a per share exercise price of $26.20.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(3)</w:t>
            </w:r>
          </w:p>
        </w:tc>
        <w:tc>
          <w:tcPr>
            <w:tcW w:w="9961" w:type="dxa"/>
            <w:tcBorders/>
            <w:vAlign w:val="center"/>
          </w:tcPr>
          <w:p>
            <w:pPr>
              <w:pStyle w:val="TableContents"/>
              <w:bidi w:val="0"/>
              <w:spacing w:before="0" w:after="283"/>
              <w:jc w:val="both"/>
              <w:rPr>
                <w:sz w:val="20"/>
              </w:rPr>
            </w:pPr>
            <w:r>
              <w:rPr>
                <w:sz w:val="20"/>
              </w:rPr>
              <w:t>Includes (i) 1,319 shares of our common stock held in the name of Tyrone Miller, (ii) 400 shares underlying fully vested options exercisable into common stock at a per share exercise price of $240.00 and (iii) 1,500 shares underlying fully vested options exercisable into common stock at a per share exercise price of $26.20.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(4)</w:t>
            </w:r>
          </w:p>
        </w:tc>
        <w:tc>
          <w:tcPr>
            <w:tcW w:w="9958" w:type="dxa"/>
            <w:tcBorders/>
            <w:vAlign w:val="center"/>
          </w:tcPr>
          <w:p>
            <w:pPr>
              <w:pStyle w:val="TableContents"/>
              <w:bidi w:val="0"/>
              <w:spacing w:before="0" w:after="283"/>
              <w:jc w:val="both"/>
              <w:rPr>
                <w:sz w:val="20"/>
              </w:rPr>
            </w:pPr>
            <w:r>
              <w:rPr>
                <w:sz w:val="20"/>
              </w:rPr>
              <w:t>Ms. Landon beneficially owns a total of 1,553 shares of common stock, of which includes (i) 1,135 shares of common stock held in the name of Ms. Landon, and (ii) 418 shares underlying fully vested options exercisable into common stock at a per share exercise price of $27.40.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(5)</w:t>
            </w:r>
          </w:p>
        </w:tc>
        <w:tc>
          <w:tcPr>
            <w:tcW w:w="9965" w:type="dxa"/>
            <w:tcBorders/>
            <w:vAlign w:val="center"/>
          </w:tcPr>
          <w:p>
            <w:pPr>
              <w:pStyle w:val="TableContents"/>
              <w:bidi w:val="0"/>
              <w:spacing w:before="0" w:after="283"/>
              <w:jc w:val="both"/>
              <w:rPr>
                <w:sz w:val="20"/>
              </w:rPr>
            </w:pPr>
            <w:r>
              <w:rPr>
                <w:sz w:val="20"/>
              </w:rPr>
              <w:t>Mr. Allen beneficially owns a total of 2,131 shares of common stock, of which includes (i) 59 shares of common stock held in the name of Mr. Allen, (ii) 72 shares underlying fully vested options exercisable into common stock at a per share exercise price of $1,272.00, and (iii) 2,000 shares underlying fully vested options exercisable into common stock at a per share exercise price of $5.84.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(6)</w:t>
            </w:r>
          </w:p>
        </w:tc>
        <w:tc>
          <w:tcPr>
            <w:tcW w:w="9965" w:type="dxa"/>
            <w:tcBorders/>
            <w:vAlign w:val="center"/>
          </w:tcPr>
          <w:p>
            <w:pPr>
              <w:pStyle w:val="TableContents"/>
              <w:bidi w:val="0"/>
              <w:spacing w:before="0" w:after="283"/>
              <w:jc w:val="both"/>
              <w:rPr>
                <w:sz w:val="20"/>
              </w:rPr>
            </w:pPr>
            <w:r>
              <w:rPr>
                <w:sz w:val="20"/>
              </w:rPr>
              <w:t>Ms. Xu beneficially owns a total of 6,026 shares of common stock, of which includes (i) 3,954 shares of common stock held in the name of Ms. Xu, (ii) 72 shares underlying fully vested options exercisable into common stock at a per share exercise price of $1,272.00, and (iii) 2,000 shares underlying fully vested options exercisable into common stock at a per share exercise price of $5.84.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(7)</w:t>
            </w:r>
          </w:p>
        </w:tc>
        <w:tc>
          <w:tcPr>
            <w:tcW w:w="9965" w:type="dxa"/>
            <w:tcBorders/>
            <w:vAlign w:val="center"/>
          </w:tcPr>
          <w:p>
            <w:pPr>
              <w:pStyle w:val="TableContents"/>
              <w:bidi w:val="0"/>
              <w:spacing w:before="0" w:after="283"/>
              <w:jc w:val="both"/>
              <w:rPr>
                <w:sz w:val="20"/>
              </w:rPr>
            </w:pPr>
            <w:r>
              <w:rPr>
                <w:sz w:val="20"/>
              </w:rPr>
              <w:t>Mr. Toovey beneficially owns a total of 2,131 shares of common stock, of which includes (i) 59 shares of common stock held in the name of Mr. Toovey, (ii) 72 shares underlying fully vested options exercisable into common stock at a per share exercise price of $1,272.00, and (iii) 2,000 shares underlying fully vested options exercisable into common stock at a per share exercise price of $5.84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(8)</w:t>
            </w:r>
          </w:p>
        </w:tc>
        <w:tc>
          <w:tcPr>
            <w:tcW w:w="9971" w:type="dxa"/>
            <w:tcBorders/>
            <w:vAlign w:val="center"/>
          </w:tcPr>
          <w:p>
            <w:pPr>
              <w:pStyle w:val="TableContents"/>
              <w:bidi w:val="0"/>
              <w:spacing w:before="0" w:after="283"/>
              <w:jc w:val="both"/>
              <w:rPr>
                <w:sz w:val="20"/>
              </w:rPr>
            </w:pPr>
            <w:r>
              <w:rPr>
                <w:sz w:val="20"/>
              </w:rPr>
              <w:t>Mr. Field beneficially owns a total of 2,131 shares of common stock, of which includes (i) 42 shares of common stock held by the Field Family Trust, of which Mr. Field is a trustee and has control over the voting and disposition of the shares of common stock held by the Field Family Trust, (ii) 17 shares of common stock held in the name of Mr. Field, (iii) 72 shares underlying fully vested options exercisable into common stock at a per share exercise price of $1,272.00, and (iv) 2,000 shares underlying fully vested options exercisable into common stock at a per share exercise price of $5.84.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policies and procedures for the review of related person transactions the Audit Committee reviews related person transactions in which we are or will be a participant to determine if they are in the best interests of our stockholders and the Company. Transactions, arrangements or relationships or any series of similar transactions, arrangements or relationships in which a related person had or will have a material interest and that exceed $120,000 are subject to the Audit Committee’s review. Any member of the Audit Committee who is a related person with respect to a transaction under review may not participate in the deliberation or vote respecting approval or ratification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persons are directors, director nominees, executive officers, holders of 5% or more of our voting stock and their immediate family members. Immediate family members are spouses, parents, stepparents, children, stepchildren, siblings, daughters-in-law, sons-in-law and any person, other than a tenant or domestic employee, who resides in the household of a director, director nominee, executive officer or holder of 5% or more of our voting stock. After its review, the Audit Committee may approve or ratify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below, and except for the regular salary and bonus payments made to our directors and officers in the ordinary course of business as described in the section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there have been no transactions since January 1, 2024 or any currently proposed transaction or series of similar transactions to which the Company was or is to be a party, in which the amount involved exceeds USD$120,000 and in which any current or former director or officer of the Company, any 5% or greater stockholder of the Company or any member of the immediate family of any such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AN AMENDMENT TO INCREASE THE NUMBER OF AUTHORIZED SHARES UNDER THE 2022 EQUITY INCENTIVE PLAN BY 800,000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resolution declaring it advisable and in the best interests of the Company and its stockholders that the shares of common stock authorized for issuance under the 2022 Plan be increased by 800,000 (the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2022, our Board and our stockholders approved the 60 Degrees Pharmaceuticals, Inc. 2022 Equity Incentive Plan. The 2022 Plan governs equity awards to our employees, directors, officers, consultants and other eligible participants. Initially, the maximum number of shares of our common stock that may be subject to awards under the 2022 Plan was equal to 3,977. The 2022 Plan provides for an annual automatic increase in the number of shares available for issuance beginning on January 1, 2023, and each January 1 thereafter, by four percent (4%) of the number of outstanding shares of common stock on the immediately preceding December 31, or such lesser number of shares as determined by our Board. As of the Record Date, the maximum shares of our common stock that may be subject to awards under the 2022 Plan is equal to 162,889.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2022 Plan is to attract and retain the best available personnel for positions of substantial responsibility, to provide additional incentive to employees, directors and consultants, and to promote the success of our business. The administrator of the 2022 Plan may, in its sole discretion, amend, alter, suspend or terminate the 2022 Plan, or any part thereof, at any time and for any reason. Unless earlier terminated by the administrator, the 2022 Plan will terminate ten years from the date it is adopted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and Purpose of the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give the Company the flexibility to responsibly address its future equity compensation needs, the Company is requesting that stockholders approve the Plan Amendment, which will authorize an additional 800,000 shares for issuance under the 2022 Plan, so that an overall total of 962,889 shares will be reserved under the 2022 Plan. Having a sufficient number of shares under the 2022 Plan is critical to our ability to continue to attract, retain, engage and focus highly motivated and qualified employees, particularly in the competitive labor market that exists today in our industry. A copy of the Plan Amendment is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a copy of the 2022 Plan is attached to this proxy statement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no rights under the DGCL or under our Certificate of Incorporation to exercise dissenters’ rights of appraisal with respect to the approval of the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features of the 2022 Plan are summarized below, but the below summary is qualified in its entirety by reference to the full text of the plan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maximum number of shares of our common stock that may be subject to awards under the 2022 Plan was equal to 995. The 2022 Plan provides for an annual automatic increase in the number of shares available for issuance beginning on January 1, 2023, and each January 1 thereafter, by four percent (4%) of the number of outstanding shares of common stock on the immediately preceding December 31, or such lesser number of shares as determined by our Board. On July 16, 2024, November 6, 2024, and September 30, 2025 our stockholders approved an increase to the number of shares available under the 2022 Plan by 20,834 shares, 25,000 shares, and 62,500 shares, respectively, which increases were previously approved by the Board. As of the Record Date, the maximum shares of our common stock that may be subject to awards under the 2022 Plan is equal to 162,889.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committees appointed by our Board will administer the 2022 Plan. Initially, the Compensation Committee shall administer the 2022 Plan. In addition, if we determine it is desirable to qualify transactions under the 2022 Plan as exempt under Rule 16b-3 of the Exchange Act, such transactions will be structured with the intent that they satisfy the requirements for exemption under Rule 16b-3. Subject to the provisions of the 2022 Plan, the administrator has the power to administer the 2022 Plan and make all determinations deemed necessary or advisable for administering the 2022 Plan, including the power to determine the fair market value of our common stock, select the service providers to whom awards may be granted, determine the number of shares covered by each award, approve forms of award agreements for use under the 2022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2022 Plan and awards granted under it, prescribe, amend and rescind rules relating to the 2022 Plan, rules and regulations relating to sub-plans established for the purpose of facilitating compliance with applicable non-U.S. laws, easing the administration of the 2022 Plan and/or for qualifying for favorable tax treatment under applicable non-U.S. laws, in each case as the administrator may deem necessary or advisable and modify or amend each award (subject to the provisions of the 2022 Plan), including the discretionary authority to extend the post-termination exercisability period of awards and to extend the maximum term of an option or stock appreciation right (subject to the provisions of the 2022 Plan), to allow Participants to satisfy withholding tax obligations in a manner permissible under the 2022 Plan, to authorize any person to execute on behalf of us any instrument required to effect the grant of an award previously granted by the administrator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other than incentive stock options, may be granted to our employees (including our officers and directors) or a parent or subsidiary, members of our Board, or consultants engaged to render bona fide services to us or a parent or subsidiary. Incentive stock options may be granted only to our employees or a subsidiary, provided the services (i) are not in connection with the offer or sale of securities in a capital-raising transaction, and (ii) do not directly promote or maintain a market for our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may be granted under the 2022 Plan. The exercise price of options granted under the 2022 Plan generally must at least be equal to the fair market value of our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may not be exercised later than the expiration of its term. Subject to the provisions of the 2022 Plan, the administrator determines the other terms of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may be granted under the 2022 Plan. Stock appreciation rights allow the recipient to receive the appreciation in the fair market value of our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2022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may be granted under the 2022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the 2022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may be granted under the 2022 Plan. RSUs are bookkeeping entries representing an amount equal to the fair market value of one share of our common stock. Subject to the provisions of the 2022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our common stock or in some combination thereof. Notwithstanding the foregoing, the administrator, in its sole discretion, may accelerate the time at which any vesting requirements will be deemed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awards may be granted under the 2022 Plan. Performance awards are awards that will result in a payment to a participant only if performance goals established by the administrator are achieved or the awards otherwise vest. The administrator will set objectives or vesting provisions, that, depending on the extent to which they are met, will determine the value of the payout for the performance awards. The administrator may set vesting criteria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objectives or other vesting provisions for such performance award. The administrator, in its sole discretion, may pay earned performance awards in the form of cash, in shares, or in some combination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Non-transferability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administrator provides otherwise, the 2022 Plan generally does not allow for the transfer of awards other than by will or by the laws of descent and distribution and only the recipient of an award may exercise an award during their lifetime. If the administrator makes an award transferrable, such award will contain such additional terms and conditions as the administrator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changes in our capitalization, to prevent diminution or enlargement of the benefits or potential benefits available under the 2022 Plan, the administrator will adjust the number and class of shares that may be delivered under the 2022 Plan or the number, and price of shares covered by each outstanding award and the numerical share limits set forth in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proposed liquidation or dissolution, the administrator will notify participants as soon as practicable and all awards will terminate immediately prior to the consummation of such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provides that in the event of our merger with or into another corporation or entity or a “change in control” (as defined in the 2022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or performance awards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us or any of our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awards granted to an outside director, the outside director will fully vest in and have the right to exercise options and/or stock appreciation rights as to all of the shares underlying such award, including those shares which would not be vested or exercisable, all restrictions on restricted stock and RSUs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us or any of our subsidiaries or parents,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will be subject to any clawback policy that we are required to adopt pursuant to the listing standards of any national securities exchange or association on which our securities are listed or as is otherwise required by the Dodd-Frank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administrator may require a participant to forfeit, return or reimburse us all or a portion of the award or shares issued under the award, any amounts paid under the award and any payments or proceeds paid or provided upon disposition of the shares issued under the award in order to comply with such clawback policy or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has the authority to amend, suspend or terminate the 2022 Plan provided such action does not impair the existing rights of any participant. The 2022 Plan automatically will terminate on November 22, 2032, unless it is terminated sooner.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principal U.S. federal income tax consequences with respect to awards granted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of a restricted stock award does not have taxable income upon receipt of the award. When the restricted stock award is vested, the recipient will recognize ordinary income in an amount equal to the difference of the fair market value of the shares on the date of vesting and the amount paid for such restricted stock,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vesting of a restricted stock award, the Company will be entitled to a corresponding income tax deduction in the tax year in which the restricted stock award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may, however, elect under Section 83(b) of the Code to include as ordinary income in the year the shares are granted an amount equal to the excess of (i) the fair market value of the shares on the date of issuance, over (ii) the purchase price, if any, paid for the shares. If the Section 83(b) election is made, the recipient will not realize any additional taxable income when the shares become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recipient will not recognize taxable income upon the grant of a restricted stock unit, and we will not be entitled to a deduction, until the shares and/or cash with respect to the award are transferred to the recipient, generally at the end of the vesting period. At the time of transfer, the recipient will recognize ordinary income equal to the value of the shares of common stock and/or cash. The Company will be entitled to a deduction equal to the income recognized by the recipient. The subsequent disposition of shares acquired pursuant to a restricted stock unit award will result in capital gain or loss (based upon the difference between the price received upon disposition and the recipient’s basis in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does not recognize any taxable income as a result of a grant of a non-qualified stock option. Upon exercise of a non-qualified stock option, the recipient will recognize ordinary income in an amount equal to the difference between the fair market value of the shares on the date of exercise and the exercise price. When the shares are sold, any difference between the sale price and the fair market value of the shares on the date of exercise will generally be treated as long term or short term capital gain or loss, depending on whether the stock was held for more than one year. Upon the exercise of a non-qualified stock option, the Company will be entitled to a corresponding income tax deduction in the tax year in which the option was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an incentive stock option, the excess of the fair market value of the shares of common stock acquired over the option exercise price will be an item of tax preference to the participant, which may be subject to an alternative minimum tax for the year of exercise. If no disposition of the shares is made within two years from the date of granting of the incentive stock option or within one year after the transfer of the shares to the participant, the participant does not realize taxable income as a result of exercising the incentive stock option; the tax basis of the shares received for capital gain treatment is the option exercise price; any gain or loss realized on the sale of the shares is long-term capital gain or loss. If the recipient disposes of the shares within the two-year or one-year periods referred to above, the recipient will realize ordinary income at that time in an amount equal to the excess of the fair market value of the shares at the time of exercise (or the net proceeds of disposition, if less) over the option exercise price. For capital gain treatment on such a disposition, the tax basis of the shares will be their fair market value at the time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recipient does not recognize any taxable income upon the receipt of a stock appreciation right (“SAR”). Upon the exercise of a SAR, the recipient will recognize ordinary income in an amount equal to the excess of the fair market value of the underlying shares of common stock on the exercise date over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exercise of a SAR, the Company will be entitled to a corresponding income tax deduction in the tax year in which the SAR was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reflects the number of securities granted under equity compensation plans approved and not approved by stockholders and the weighted average exercise price for such plans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0"/>
        <w:gridCol w:w="60"/>
        <w:gridCol w:w="249"/>
        <w:gridCol w:w="2860"/>
        <w:gridCol w:w="60"/>
        <w:gridCol w:w="60"/>
        <w:gridCol w:w="500"/>
        <w:gridCol w:w="2001"/>
        <w:gridCol w:w="60"/>
        <w:gridCol w:w="60"/>
        <w:gridCol w:w="165"/>
        <w:gridCol w:w="1891"/>
        <w:gridCol w:w="79"/>
      </w:tblGrid>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to be issued upon exercise or issuance of outstanding options, units, warrants and rights</w:t>
            </w:r>
            <w:r>
              <w:rPr>
                <w:b/>
                <w:position w:val="8"/>
                <w:sz w:val="19"/>
              </w:rPr>
              <w:t>(1)</w:t>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 of outstanding options, warrants and rights</w:t>
            </w:r>
            <w:r>
              <w:rPr>
                <w:b/>
                <w:position w:val="8"/>
                <w:sz w:val="19"/>
              </w:rPr>
              <w:t>(1)</w:t>
            </w:r>
            <w:r>
              <w:rPr>
                <w:b/>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remaining available for future issuance</w:t>
            </w:r>
            <w:r>
              <w:rPr>
                <w:b/>
                <w:position w:val="8"/>
                <w:sz w:val="19"/>
              </w:rPr>
              <w:t>(2)</w:t>
            </w:r>
            <w:r>
              <w:rPr>
                <w:b/>
              </w:rPr>
              <w:t>:</w:t>
            </w:r>
          </w:p>
        </w:tc>
        <w:tc>
          <w:tcPr>
            <w:tcW w:w="79"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left"/>
              <w:rPr>
                <w:b/>
                <w:i/>
              </w:rPr>
            </w:pPr>
            <w:r>
              <w:rPr>
                <w:b/>
                <w:i/>
              </w:rPr>
              <w:t>2022 Equity Incentive Plan:</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6"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283"/>
              <w:jc w:val="left"/>
              <w:rPr/>
            </w:pPr>
            <w:r>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2860" w:type="dxa"/>
            <w:tcBorders/>
            <w:shd w:fill="CCEEFF" w:val="clear"/>
            <w:vAlign w:val="center"/>
          </w:tcPr>
          <w:p>
            <w:pPr>
              <w:pStyle w:val="TableContents"/>
              <w:bidi w:val="0"/>
              <w:spacing w:before="0" w:after="283"/>
              <w:jc w:val="right"/>
              <w:rPr/>
            </w:pPr>
            <w:r>
              <w:rPr/>
              <w:t>21,940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2001" w:type="dxa"/>
            <w:tcBorders/>
            <w:shd w:fill="CCEEFF" w:val="clear"/>
            <w:vAlign w:val="center"/>
          </w:tcPr>
          <w:p>
            <w:pPr>
              <w:pStyle w:val="TableContents"/>
              <w:bidi w:val="0"/>
              <w:spacing w:before="0" w:after="283"/>
              <w:jc w:val="right"/>
              <w:rPr/>
            </w:pPr>
            <w:r>
              <w:rPr/>
              <w:t>47.18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91" w:type="dxa"/>
            <w:tcBorders/>
            <w:shd w:fill="CCEEFF" w:val="clear"/>
            <w:vAlign w:val="center"/>
          </w:tcPr>
          <w:p>
            <w:pPr>
              <w:pStyle w:val="TableContents"/>
              <w:bidi w:val="0"/>
              <w:spacing w:before="0" w:after="283"/>
              <w:jc w:val="right"/>
              <w:rPr/>
            </w:pPr>
            <w:r>
              <w:rPr/>
              <w:t>68,760</w:t>
            </w:r>
          </w:p>
        </w:tc>
        <w:tc>
          <w:tcPr>
            <w:tcW w:w="7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pPr>
            <w:r>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2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0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2860" w:type="dxa"/>
            <w:tcBorders/>
            <w:shd w:fill="CCEEFF" w:val="clear"/>
            <w:vAlign w:val="center"/>
          </w:tcPr>
          <w:p>
            <w:pPr>
              <w:pStyle w:val="TableContents"/>
              <w:bidi w:val="0"/>
              <w:spacing w:before="0" w:after="283"/>
              <w:jc w:val="right"/>
              <w:rPr/>
            </w:pPr>
            <w:r>
              <w:rPr/>
              <w:t>21,940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2001" w:type="dxa"/>
            <w:tcBorders/>
            <w:shd w:fill="CCEEFF" w:val="clear"/>
            <w:vAlign w:val="center"/>
          </w:tcPr>
          <w:p>
            <w:pPr>
              <w:pStyle w:val="TableContents"/>
              <w:bidi w:val="0"/>
              <w:spacing w:before="0" w:after="283"/>
              <w:jc w:val="right"/>
              <w:rPr/>
            </w:pPr>
            <w:r>
              <w:rPr/>
              <w:t>47.18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91" w:type="dxa"/>
            <w:tcBorders/>
            <w:shd w:fill="CCEEFF" w:val="clear"/>
            <w:vAlign w:val="center"/>
          </w:tcPr>
          <w:p>
            <w:pPr>
              <w:pStyle w:val="TableContents"/>
              <w:bidi w:val="0"/>
              <w:spacing w:before="0" w:after="283"/>
              <w:jc w:val="right"/>
              <w:rPr/>
            </w:pPr>
            <w:r>
              <w:rPr/>
              <w:t>68,760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4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(1)</w:t>
            </w:r>
          </w:p>
        </w:tc>
        <w:tc>
          <w:tcPr>
            <w:tcW w:w="3680" w:type="dxa"/>
            <w:tcBorders/>
            <w:vAlign w:val="center"/>
          </w:tcPr>
          <w:p>
            <w:pPr>
              <w:pStyle w:val="TableContents"/>
              <w:bidi w:val="0"/>
              <w:spacing w:before="0" w:after="283"/>
              <w:jc w:val="both"/>
              <w:rPr>
                <w:sz w:val="20"/>
              </w:rPr>
            </w:pPr>
            <w:r>
              <w:rPr>
                <w:sz w:val="20"/>
              </w:rPr>
              <w:t>Balances presented as of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b/>
                <w:sz w:val="20"/>
              </w:rPr>
            </w:pPr>
            <w:r>
              <w:rPr>
                <w:b/>
                <w:sz w:val="20"/>
              </w:rPr>
              <w:t>(2)</w:t>
            </w:r>
          </w:p>
        </w:tc>
        <w:tc>
          <w:tcPr>
            <w:tcW w:w="9963" w:type="dxa"/>
            <w:tcBorders/>
            <w:vAlign w:val="center"/>
          </w:tcPr>
          <w:p>
            <w:pPr>
              <w:pStyle w:val="TableContents"/>
              <w:bidi w:val="0"/>
              <w:spacing w:before="0" w:after="283"/>
              <w:jc w:val="both"/>
              <w:rPr>
                <w:sz w:val="20"/>
              </w:rPr>
            </w:pPr>
            <w:r>
              <w:rPr>
                <w:sz w:val="20"/>
              </w:rPr>
              <w:t>Balances presented as of December 31, 2025, and therefore exclude the automatic increase of 46,524 shares to the number of shares available for issuance under the 2022 Plan, which became effective on January 1, 2026. The total number of shares of common stock that remain available for future issuance under the 2022 Plan as of the Record Date is 115,284.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the approval to increase the total number of authorized shares</w:t>
        <w:br/>
        <w:t>under the 2022 Equity Incentive Plan by 800,000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CERTIFICATE OF INCORPORATION TO EFFECT A REVERSE STOCK SPLIT OF OUR COMMON STOCK AT A REVERSE STOCK SPLIT RATIO RANGING FROM 1:5 TO 1:10, INCLUSIVE, AS DETERMINED BY THE BOARD IN ITS SOLE DISCRETION (Item 3 on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are being asked to approve an amendment to our Certificate of Incorporation to effect a reverse stock split of our common stock at a reverse stock split ratio ranging from 1:5 to 1:10, inclusive, as may be determined at the appropriate time by the Board, in its sole discretion (the “Reverse Stock Split”). This means that once approved by the stockholders, the Board will be able to decide whether and when to effect the Reverse Stock Split without further action from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or the abandonment thereof, notwithstanding stockholder approval, will be determined by the Board, at its sole option, following the Annual Meeting any time prior to the one-year anniversary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Maintaining our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Reverse Stock Split is to raise the per share trading price of our common stock in order to maintain our listing on The Nasdaq Capital Market. Delisting from Nasdaq may adversely affect our ability to raise additional financing through the public or private sale of our equity securities, may significantly affect the ability of investors to trade in our securities and may negatively affect the value and liquidity of our common stock. Delisting may also have other negative impacts, including potential loss of employee confidence, the loss of institutional investors, the loss of analyst coverage or the loss of business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Potentially Improving the Marketability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increased stock price may also improve the marketability and liquidity of our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Decreasing the Risk of Market Manipulation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potential increase in stock price may reduce the risk of market manipulation of our common stock, which we believe is enhanced when our stock trades below $1.00 per share. By reducing market manipulation risk, we may also thereby potentially decrease 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Providing us the Ability to Issue Additional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is expected to increase the number of authorized, but unissued and unreserved, shares of our common stock. These additional shares would provide flexibility to us for raising capital; repurchasing debt; providing equity incentives to employees, officers, directors, consultants and advisors (including pursuant to our equity compensation plan); expanding our business through the acquisition of other businesses and for other purposes. However, at present, we do not have any specific plans, arrangements, understandings or commitments for the additional shares that would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for these and other reasons, the Board believes that a Reverse Stock Split is in the best interests of us and our stockholders. A copy of the draft of the amendment to our Certificate of Incorporation providing for the Reverse Stock Split is attached hereto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 to be Used for Determining Whether to Implement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gives the Board the discretion to select a Reverse Stock Split ratio from within a range between and including 1:5 and 1:10 on a date selected by him based on his then-current assessment of the factors below, and in order to maximize Company and stockholder interests. In determining whether to implement the Reverse Stock Split, and which ratio to implement, if any, the Board may consider,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historical trading price and trading volume of our common stock;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then-prevailing trading price and trading volume of our common stock and the expected impact of the Reverse Stock Split on the trading market in the short- and long-term;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continued listing requirements for our common stock on Nasdaq or other applicable exchanges, if then applicable;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number of shares of common stock outstanding;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which Reverse Stock Split ratio would result in the least administrative cost to us;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prevailing industry, market and 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and Potential Disadvantages Associated with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 Reverse Stock Split on our stock price cannot be predicted with any certainty, and the history of reverse stock splits for other companies in various industries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fail to meet Nasdaq’s continued listing requirements, Nasdaq could suspend trading in our common stock and commence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us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certain number shares of common stock outstanding (depending on the Reverse Stock Split ratio selected by the Board) will be combined, automatically and without any action on the part of the Company or its stockholders, into one new share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no fractional shares of common stock will be issued; instead, stockholders who would otherwise receive a fractional share will receive a whole share in lieu of any fractional share of common stock (as detailed below);</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proportionate adjustments will be made to the number of shares issuable upon the exercise or vesting of all then-outstanding stock options and warrants which will result in a proportional decrease in the number of shares of common stock reserved for issuance upon exercise or vesting of such stock options and warrants and, in the case of stock options, a proportional increase in the exercise price of all such stock options;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number of shares of common stock then reserved for issuance under our equity compensation plan will be reduced proportionately; and</w:t>
            </w:r>
          </w:p>
        </w:tc>
      </w:tr>
    </w:tbl>
    <w:p>
      <w:pPr>
        <w:pStyle w:val="TextBody"/>
        <w:bidi w:val="0"/>
        <w:spacing w:before="0" w:after="0"/>
        <w:ind w:left="720" w:right="0" w:hanging="36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17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sz w:val="20"/>
              </w:rPr>
            </w:pPr>
            <w:r>
              <w:rPr>
                <w:sz w:val="20"/>
              </w:rPr>
              <w:t>the total number of authorized shares of common stock will remain at 150,000,000.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illustrative purposes only, the anticipated effects of a Reverse Stock Split on our shares available for issuance based on information as of the Record Date (unless otherwise noted below) and without giving effect to the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this Proposal Is Approved by Stockholders and Implemented by the Board: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00"/>
        <w:gridCol w:w="60"/>
        <w:gridCol w:w="62"/>
        <w:gridCol w:w="1288"/>
        <w:gridCol w:w="60"/>
        <w:gridCol w:w="60"/>
        <w:gridCol w:w="118"/>
        <w:gridCol w:w="1977"/>
        <w:gridCol w:w="60"/>
        <w:gridCol w:w="60"/>
        <w:gridCol w:w="77"/>
        <w:gridCol w:w="1265"/>
        <w:gridCol w:w="60"/>
        <w:gridCol w:w="60"/>
        <w:gridCol w:w="98"/>
        <w:gridCol w:w="2020"/>
        <w:gridCol w:w="80"/>
      </w:tblGrid>
      <w:tr>
        <w:trPr/>
        <w:tc>
          <w:tcPr>
            <w:tcW w:w="2800" w:type="dxa"/>
            <w:tcBorders>
              <w:bottom w:val="single" w:sz="12" w:space="0" w:color="000000"/>
            </w:tcBorders>
            <w:vAlign w:val="center"/>
          </w:tcPr>
          <w:p>
            <w:pPr>
              <w:pStyle w:val="TableContents"/>
              <w:bidi w:val="0"/>
              <w:spacing w:before="0" w:after="283"/>
              <w:jc w:val="left"/>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3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2"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Reserved for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8"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Unissued and Unreserved</w:t>
            </w:r>
          </w:p>
        </w:tc>
        <w:tc>
          <w:tcPr>
            <w:tcW w:w="80" w:type="dxa"/>
            <w:tcBorders/>
            <w:tcMar>
              <w:bottom w:w="0" w:type="dxa"/>
            </w:tcMar>
            <w:vAlign w:val="center"/>
          </w:tcPr>
          <w:p>
            <w:pPr>
              <w:pStyle w:val="TableContents"/>
              <w:bidi w:val="0"/>
              <w:spacing w:before="0" w:after="283"/>
              <w:jc w:val="left"/>
              <w:rPr/>
            </w:pPr>
            <w:r>
              <w:rPr/>
              <w:t> </w:t>
            </w:r>
          </w:p>
        </w:tc>
      </w:tr>
      <w:tr>
        <w:trPr/>
        <w:tc>
          <w:tcPr>
            <w:tcW w:w="2800" w:type="dxa"/>
            <w:tcBorders/>
            <w:shd w:fill="CCEEFF" w:val="clear"/>
            <w:tcMar>
              <w:bottom w:w="0" w:type="dxa"/>
            </w:tcMar>
            <w:vAlign w:val="center"/>
          </w:tcPr>
          <w:p>
            <w:pPr>
              <w:pStyle w:val="TableContents"/>
              <w:bidi w:val="0"/>
              <w:spacing w:before="0" w:after="283"/>
              <w:jc w:val="left"/>
              <w:rPr/>
            </w:pPr>
            <w:r>
              <w:rPr/>
              <w:t>Pre-Reverse Stock Split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150,000,000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2,659,288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1,889,224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145,451,488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00" w:type="dxa"/>
            <w:tcBorders/>
            <w:shd w:fill="FFFFFF" w:val="clear"/>
            <w:tcMar>
              <w:bottom w:w="0" w:type="dxa"/>
            </w:tcMar>
            <w:vAlign w:val="center"/>
          </w:tcPr>
          <w:p>
            <w:pPr>
              <w:pStyle w:val="TableContents"/>
              <w:bidi w:val="0"/>
              <w:spacing w:before="0" w:after="283"/>
              <w:jc w:val="left"/>
              <w:rPr/>
            </w:pPr>
            <w:r>
              <w:rPr/>
              <w:t>Post-Reverse Stock Split 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150,000,000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r>
              <w:rPr/>
              <w:t>531,858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377,845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2020" w:type="dxa"/>
            <w:tcBorders/>
            <w:shd w:fill="FFFFFF" w:val="clear"/>
            <w:tcMar>
              <w:bottom w:w="0" w:type="dxa"/>
            </w:tcMar>
            <w:vAlign w:val="center"/>
          </w:tcPr>
          <w:p>
            <w:pPr>
              <w:pStyle w:val="TableContents"/>
              <w:bidi w:val="0"/>
              <w:spacing w:before="0" w:after="283"/>
              <w:jc w:val="right"/>
              <w:rPr/>
            </w:pPr>
            <w:r>
              <w:rPr/>
              <w:t>149,090,297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00" w:type="dxa"/>
            <w:tcBorders/>
            <w:shd w:fill="CCEEFF" w:val="clear"/>
            <w:tcMar>
              <w:bottom w:w="0" w:type="dxa"/>
            </w:tcMar>
            <w:vAlign w:val="center"/>
          </w:tcPr>
          <w:p>
            <w:pPr>
              <w:pStyle w:val="TableContents"/>
              <w:bidi w:val="0"/>
              <w:spacing w:before="0" w:after="283"/>
              <w:jc w:val="left"/>
              <w:rPr/>
            </w:pPr>
            <w:r>
              <w:rPr/>
              <w:t>Post-Reverse Stock Split 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150,000,000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265,929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188,923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149,545,148</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(1)</w:t>
            </w:r>
          </w:p>
        </w:tc>
        <w:tc>
          <w:tcPr>
            <w:tcW w:w="9964" w:type="dxa"/>
            <w:tcBorders/>
            <w:vAlign w:val="center"/>
          </w:tcPr>
          <w:p>
            <w:pPr>
              <w:pStyle w:val="TableContents"/>
              <w:bidi w:val="0"/>
              <w:spacing w:before="0" w:after="283"/>
              <w:jc w:val="both"/>
              <w:rPr>
                <w:sz w:val="20"/>
              </w:rPr>
            </w:pPr>
            <w:r>
              <w:rPr>
                <w:sz w:val="20"/>
              </w:rPr>
              <w:t>Includes shares of common stock reserved for issuance (i) upon the exercise of currently exercisable warrants and options and (ii) under the 2022 Plan less any exercised or converted awards. Excludes the proposed amendment, as described in Proposal 2 of this proxy statement, to increase the number of shares authorized for issuance under the 2022 Plan by 800,000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affect all stockholders uniformly. As of the effective date of the Reverse Stock Split which shall be determined by the Board in its sole discretion (“Effective Date”), each stockholder would own a reduced number of shares of common stock. Percentage ownership interests, voting rights and other rights and preferences would not be affected, except to the extent that the Reverse Stock Split would result in fractional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not affect the registration of our common stock under Section 12(b) of the Exchange Act and we would continue to be subject to the periodic reporting and other requirements of the Exchange Act. Barring delisting by Nasdaq, our common stock would continue to be listed on Nasdaq under the symbol “SXTP,” but would have a new Committee on Uniform Securities Identification Procedures number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 In lieu of any fractional shares to which a stockholder of record would otherwise be entitled, we will issue a whole share in lieu of any fractional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 2026, there were 22 common stockholders of record. We do not intend for this transaction to be the first step in a series of plans or proposals of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common stock are held in the name of a bank, broker or other nominee are encouraged to contact their bank, broker or other nominee with any questions regarding the procedures for implementing the Reverse Stock Split with respect to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hold shares electronically in book-entry form under the direct registration system (i.e.,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will automatically receive, at their address of record, a transaction statement indicating the number of post-split shares held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of a Reverse Stock Split to stockholders. This summary is based on the provisions of the Internal Revenue Code of 1986, as amended (the “Code”), U.S. Treasury regulations,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 opinion of counsel or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stockholders that are U.S. holders, as defined below, and that hold our common stock as a capital asset (generally, property held for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our common stock that is, for U.S. federal income tax purposes:</w:t>
      </w:r>
    </w:p>
    <w:p>
      <w:pPr>
        <w:pStyle w:val="TextBody"/>
        <w:bidi w:val="0"/>
        <w:spacing w:before="0" w:after="0"/>
        <w:ind w:left="720" w:right="0" w:hanging="34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sz w:val="20"/>
              </w:rPr>
            </w:pPr>
            <w:r>
              <w:rPr>
                <w:sz w:val="20"/>
              </w:rPr>
              <w:t>an individual who is a citizen or resident of the U.S.;</w:t>
            </w:r>
          </w:p>
        </w:tc>
      </w:tr>
    </w:tbl>
    <w:p>
      <w:pPr>
        <w:pStyle w:val="TextBody"/>
        <w:bidi w:val="0"/>
        <w:spacing w:before="0" w:after="0"/>
        <w:ind w:left="720" w:right="0" w:hanging="34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sz w:val="20"/>
              </w:rPr>
            </w:pPr>
            <w:r>
              <w:rPr>
                <w:sz w:val="20"/>
              </w:rPr>
              <w:t>a corporation created or organized in or under the laws of the U.S., any state thereof or the District of Columbia;</w:t>
            </w:r>
          </w:p>
        </w:tc>
      </w:tr>
    </w:tbl>
    <w:p>
      <w:pPr>
        <w:pStyle w:val="TextBody"/>
        <w:bidi w:val="0"/>
        <w:spacing w:before="0" w:after="0"/>
        <w:ind w:left="720" w:right="0" w:hanging="34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an estate the income of which is subject to U.S. federal income taxation regardless of its source; or</w:t>
            </w:r>
          </w:p>
        </w:tc>
      </w:tr>
    </w:tbl>
    <w:p>
      <w:pPr>
        <w:pStyle w:val="TextBody"/>
        <w:bidi w:val="0"/>
        <w:spacing w:before="0" w:after="0"/>
        <w:ind w:left="747" w:right="0" w:hanging="3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w:t>
            </w:r>
          </w:p>
        </w:tc>
      </w:tr>
    </w:tbl>
    <w:p>
      <w:pPr>
        <w:pStyle w:val="TextBody"/>
        <w:bidi w:val="0"/>
        <w:spacing w:before="0" w:after="0"/>
        <w:ind w:left="747" w:right="0" w:hanging="38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be treated as a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who receives a cash payment in lieu of a fractional share will recognize capital gain or loss equal to the difference between the amount of cash received in lieu of the fractional share and the portion of the U.S. holder’s tax basis of the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unless a U.S. holder timely provides to the applicable withholding agent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will remain unchanged at $0.0001 per share following a Reverse Stock Split. As a result, as of the Effective Date, the stated capital on the our balance sheets attributable to common stock will be reduced proportionally based on the Reverse Stock Split ratio, and the additional paid-in capital will be credited with the amount by which the capital is reduced. The net income or loss per share of common stock will be increased as a result of the fewer shares of common stock outstanding. The Reverse Stock Split will be reflected retroactively in our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the Reverse Stock Split. The Board of Directors retains the discretion to abandon, and not implement, the aforementioned amendments at any time before they become effective.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RATIFICATION OF THE SELECTION OF RBSM LLP AS OUR INDEPENDENT AUDITOR FOR THE FISCAL YEAR ENDING DECEMBER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w:t>
      </w:r>
      <w:r>
        <w:rPr>
          <w:rFonts w:ascii="Times New Roman;Times;Serif" w:hAnsi="Times New Roman;Times;Serif"/>
          <w:b w:val="false"/>
          <w:i w:val="false"/>
          <w:caps w:val="false"/>
          <w:smallCaps w:val="false"/>
          <w:sz w:val="20"/>
        </w:rPr>
        <w:t>: The Board of Directors is asking that you vote to ratify the Board’s selection of RBSM LLP (“RBSM”) as our independent registered public accounting firm for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we engaged RBSM LLP as our independent registered public accounting firm. For the years ended December 31, 2025, and 2024, we incurred fees, as discussed below:</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135"/>
        <w:gridCol w:w="60"/>
        <w:gridCol w:w="140"/>
        <w:gridCol w:w="800"/>
        <w:gridCol w:w="60"/>
        <w:gridCol w:w="60"/>
        <w:gridCol w:w="140"/>
        <w:gridCol w:w="800"/>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br/>
              <w:t>December 31,</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Audit Fees(1)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163,069</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Audit-Related Fees(2)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60,000</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223,069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(1)</w:t>
            </w:r>
          </w:p>
        </w:tc>
        <w:tc>
          <w:tcPr>
            <w:tcW w:w="9942" w:type="dxa"/>
            <w:tcBorders/>
            <w:vAlign w:val="center"/>
          </w:tcPr>
          <w:p>
            <w:pPr>
              <w:pStyle w:val="TableContents"/>
              <w:bidi w:val="0"/>
              <w:spacing w:before="0" w:after="283"/>
              <w:jc w:val="both"/>
              <w:rPr>
                <w:sz w:val="20"/>
              </w:rPr>
            </w:pPr>
            <w:r>
              <w:rPr>
                <w:sz w:val="20"/>
              </w:rPr>
              <w:t>Audit fees consist of fees relating to the audit of the Company’s annual consolidated financial statements and reviews of interim condensed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(2)</w:t>
            </w:r>
          </w:p>
        </w:tc>
        <w:tc>
          <w:tcPr>
            <w:tcW w:w="9946" w:type="dxa"/>
            <w:tcBorders/>
            <w:vAlign w:val="center"/>
          </w:tcPr>
          <w:p>
            <w:pPr>
              <w:pStyle w:val="TableContents"/>
              <w:bidi w:val="0"/>
              <w:spacing w:before="0" w:after="283"/>
              <w:jc w:val="both"/>
              <w:rPr>
                <w:sz w:val="20"/>
              </w:rPr>
            </w:pPr>
            <w:r>
              <w:rPr>
                <w:sz w:val="20"/>
              </w:rPr>
              <w:t>Audit-related fees consisted of reviews of the Company’s registration statements, consents, and the completion of comfort letter procedures associated with the Company’s securities offerings.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pre-approve all audit and permissible non-audit services performed by the independent accountants. These services may include audit services, audit-related services, tax services and other services. Under our Audit Committee’s policy, pre-approval is generally provided for particular services or categories of services, including planned services, project-based services and routine consultations. In addition, the Audit Committee may also pre-approve particular services on a case-by-case basis. Our Audit Committee approved all services that our independent public accountants provided to us in the past two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RBSM will attend the Annual Meeting and will have the opportunity to make a statement if they desire and will be available to respond to appropriate questions from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Board’s appointment of RBSM as our independent registered public accounting firm for the fiscal year ending December 31, 2026 requires the affirmative vote of a majority of votes cast on the proposal. Abstentions will have no effect on the outcome of the vote on this proposal. Because this is a routine matter, there will be no broker non-votes. If our stockholders do not ratify the appointment, the selection of another independent registered public accounting firm may be considered by the Board. Even if the selection is ratified, the Board in its discretion may select a different independent registered public accounting firm at any time during the year if it determines that such a change would be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you vote “FOR” approval of this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PROPOSAL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MANAGEMENT SUCCESS FEE IN CONNECTION WITH A CHANGE OF CONTROL OR STRATEGIC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is asking shareholders to approve a management success fee (the “Management Success Fee”) payable to members of the Company’s management team in the event of a change of control, strategic transaction, or sale of Arakoda (each, a “Qualifying Transaction”). The Management Success Fee is designed to incentivize and reward members of the management team for their efforts in maximizing shareholder value in connection with any such Qualifying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Management Success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Management Success Fee Proposal, if a Qualifying Transaction is consummated, members of the Company’s management team would be entitled to receive a success fee calculated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Qualifying Transaction with aggregate deal proceeds (the “Deal Value”) between Forty Million Dollars ($40,000,000) and One Hundred Million Dollars ($100,000,000), the Management Success Fee shall be equal to five percent (5%) of the Deal Value. For a Qualifying Transaction with a Deal Value in excess of One Hundred Million Dollars ($100,000,000), the Management Success Fee shall be equal to six percent (6%) of the Deal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Success Fee may be paid in cash, equity, or a combination thereof, to individual members of the management team in such amounts and proportions as determined by the Board in its sole discretion. The Board retains full authority to determine the allocation of the Management Success Fee among eligible members of management, taking into account each individual’s role, contributions, and responsibilities in connection with the Qualifying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Rationale for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Management Success Fee is in the best interests of shareholders because it aligns the interests of management with those of shareholders by providing a direct financial incentive to pursue and consummate value-maximizing transactions. The tiered structure of the fee — with a higher percentage applicable to transactions at or below $100 million in Deal Value and a lower percentage for transactions exceeding that threshold — reflects the Board’s judgment regarding the appropriate level of incentive compensation relative to the magnitude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notes that, as a general matter, cash bonus arrangements for management do not require shareholder approval under applicable corporate law or stock exchange listing standards. The Board has nevertheless determined to submit the Management Success Fee Proposal for shareholder approval on a voluntary basis in order to provide shareholders with an opportunity to express their views on this arrangement and to promote transparency regarding the Company’s compensation practices in connection with any potential Qualifying Transaction. Accordingly, even if this Proposal 5 does not receive the requisite shareholder approval, the Board retains the authority to implement a cash-based success fee arrangement for management in connection with a Qualifying Transaction without further shareholder action,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5 requires the affirmative vote of a majority of the shares of common stock present in person or represented by proxy at the Annual Meeting and entitled to vote thereon. Abstentions will have the same effect as votes against this proposal. Broker non-votes will have no effect on the outcome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A VOTE “FOR” THE APPROVAL OF THE MANAGEMENT SUCCESS FEE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ADJOURNMENT OF THE ANNUAL MEETING, IF NECESSARY, TO SOLICIT ADDITIONAL PROXIES IN THE EVENT THERE ARE NOT SUFFICIENT VOTES IN FAVOR OF THE DIRECTOR ELECTION PROPOSAL, THE 2022 PLAN AMENDMENT PROPOSA AND THE CERTIFICATE OF INCORPORATION AMENDMENT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6 is to consider and vote upon the proposal to approve adjourning the Annual Meeting, if necessary or appropriate in the discretion of the Board, to solicit additional proxies in the event that there are not sufficient votes at the time of the Annual Meeting to approve the Director Election Proposal, 2022 Plan Amendment Proposal and the Certificate of Incorporation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may be adjourned to another time or place, if necessary or appropriate in the discretion of the Board, to permit further solicitation of proxies to obtain additional votes in favor of the Director Election Proposal, 2022 Plan Amendment Proposal and the Certificate of Incorporation Amendment Proposal (the “Adjournment”).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Annual Meeting, the number of shares of common stock present or represented and voting in favor of the Director Election Proposal, the 2022 Plan Amendment Proposal and the Certificate of Incorporation Amendment Proposal is insufficient to approve either such proposal, the Company intends to move for the Adjournment in order to enable our Board to solicit additional proxies for approval of such proposal. We are asking our stockholders to approve this Proposal 6 for the Adjournment if necessary or appropriate in the discretion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is required for approval of the Adjournment. For the purpose of the vote on this proposal, abstentions, broker non-votes and other shares not voted will not be counted as votes cast and will have no effect on the result of the vote, although they will be considered present for the purpose of determining the presence of a quorum.</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RECCOMENDS THAT YOU VOTE “FOR” APPROVAL OF THIS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Solicitation Expenses:</w:t>
      </w:r>
      <w:r>
        <w:rPr>
          <w:rFonts w:ascii="Times New Roman;Times;Serif" w:hAnsi="Times New Roman;Times;Serif"/>
          <w:b w:val="false"/>
          <w:i w:val="false"/>
          <w:caps w:val="false"/>
          <w:smallCaps w:val="false"/>
          <w:sz w:val="20"/>
        </w:rPr>
        <w:t xml:space="preserve"> Expenses in connection with the solicitation of proxies will be paid by the Company. Proxies are being solicited principally by mail and by telephone. In addition, our directors, officers and regular employees, without additional compensation, may solicit proxies personally, by e-mail, telephone, fax or special letter. We will reimburse brokerage firms and others for their expenses in forwarding proxy materials to the beneficial owners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How To Receive Additional Paper Copies of the Proxy Statement</w:t>
      </w:r>
      <w:r>
        <w:rPr>
          <w:rFonts w:ascii="Times New Roman;Times;Serif" w:hAnsi="Times New Roman;Times;Serif"/>
          <w:b w:val="false"/>
          <w:i w:val="false"/>
          <w:caps w:val="false"/>
          <w:smallCaps w:val="false"/>
          <w:sz w:val="20"/>
        </w:rPr>
        <w:t>: The Company has adopted a procedure called “householding” which has been approved by the SEC. The Company and some brokers household proxy materials, delivering a single notice and, if applicable, this Proxy Statement and Annual Report, to multiple stockholders sharing an address unless contrary instructions have been received from the affected stockholders or they participate in electronic delivery of proxy materials. Stockholders who participate in householding will continue to access and receive separate proxy cards. This process will help reduce our printing and postage fees, as well as save natural resources.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60 Degrees Pharmaceuticals, Inc., Investor Relations, 1025 Connecticut Avenue NW Suite 1000, Washington, D.C. 20036 or by calling Investor Relations at (202) 327-5422.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Proposals for Consideration at the 2027 Annual Meeting of Stockholders</w:t>
      </w:r>
      <w:r>
        <w:rPr>
          <w:rFonts w:ascii="Times New Roman;Times;Serif" w:hAnsi="Times New Roman;Times;Serif"/>
          <w:b w:val="false"/>
          <w:i w:val="false"/>
          <w:caps w:val="false"/>
          <w:smallCaps w:val="false"/>
          <w:sz w:val="20"/>
        </w:rPr>
        <w:t>: Under the rules of the SEC, if a stockholder wants us to include a proposal in our Proxy Statement and proxy card for presentation at our 2027 Annual Meeting of Stockholders, the proposal must be received by us at our principal executive offices at 1025 Connecticut Avenue NW Suite 1000, Washington, D.C. 20036 on or around July 10, 2027. The proposal should be sent to the attention of the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bylaws, certain procedures are provided that a stockholder must follow to introduce an item of business, including the nomination of someone as a director, at an Annual Meeting of Stockholders that is not included in our Proxy Statement. These procedures provide that an item of business to be introduced at an Annual Meeting of Stockholders must be submitted in writing to our Nominating and Corporate Governance Committee at our principal executive offices and you must include information set forth in our amended and restated bylaws. See “</w:t>
      </w:r>
      <w:r>
        <w:rPr>
          <w:rFonts w:ascii="Times New Roman;Times;Serif" w:hAnsi="Times New Roman;Times;Serif"/>
          <w:b w:val="false"/>
          <w:i/>
          <w:caps w:val="false"/>
          <w:smallCaps w:val="false"/>
          <w:sz w:val="20"/>
        </w:rPr>
        <w:t>Governance of the Company – Stockholder Nominations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receive the notice of your intention to propose an item of business at our 2027 Annual Meeting no later than the close of business on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nor earlier than the close of business on the one hundred twentieth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the first anniversary of the preceding year’s annual meeting as specified in our amended and restated bylaws. If the 2027 Annual Meeting is not held within 30 days before or after the anniversary of the date of this year’s Annual Meeting, then the item of business must be received by the tenth day following the earlier of the date of mailing of the notice of the meeting or the public disclosure of the date of the meeting. Assuming that our 2027 Annual Meeting is held within 30 days of the anniversary of this Annual Meeting, we must receive notice of your intention to introduce a nomination or other item of business at that meeting on or around July 10,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60 Degrees Pharmaceuticals’ Chief Financial Officer at the address mentioned above for a copy of the relevant bylaw provisions regarding the requirements for making stockholder proposals and nominating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the Annual Meeting may refuse to allow the transaction of any business, or to acknowledge the nomination of any person, not made in compliance with the foregoing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Annual Report</w:t>
      </w:r>
      <w:r>
        <w:rPr>
          <w:rFonts w:ascii="Times New Roman;Times;Serif" w:hAnsi="Times New Roman;Times;Serif"/>
          <w:b w:val="false"/>
          <w:i w:val="false"/>
          <w:caps w:val="false"/>
          <w:smallCaps w:val="false"/>
          <w:sz w:val="20"/>
        </w:rPr>
        <w:t xml:space="preserve">: A copy of our 2025 Annual Report, as filed with the SEC on March 30, 2026, is available to stockholders without charge upon written request directed to our Secretary at 1025 Connecticut Avenue NW Suite 1000, Washington, D.C. 20036 or by phone at (202) 327-5422. The Company makes available free of charge on or through its website, </w:t>
      </w:r>
      <w:r>
        <w:rPr>
          <w:rFonts w:ascii="Times New Roman;Times;Serif" w:hAnsi="Times New Roman;Times;Serif"/>
          <w:b w:val="false"/>
          <w:i/>
          <w:caps w:val="false"/>
          <w:smallCaps w:val="false"/>
          <w:sz w:val="20"/>
        </w:rPr>
        <w:t>https://60degreespharma.com</w:t>
      </w:r>
      <w:r>
        <w:rPr>
          <w:rFonts w:ascii="Times New Roman;Times;Serif" w:hAnsi="Times New Roman;Times;Serif"/>
          <w:b w:val="false"/>
          <w:i w:val="false"/>
          <w:caps w:val="false"/>
          <w:smallCaps w:val="false"/>
          <w:sz w:val="20"/>
        </w:rPr>
        <w:t>, its Annual Reports on Form 10-K, Quarterly Reports on Form 10-Q, Current Reports on Form 8-K and all amendments to such reports filed pursuant to Section 13(a) or 15(d) of the Exchange Act as soon as reasonably practicable after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Matters To Be Considered At The Annual Meeting</w:t>
      </w:r>
      <w:r>
        <w:rPr>
          <w:rFonts w:ascii="Times New Roman;Times;Serif" w:hAnsi="Times New Roman;Times;Serif"/>
          <w:b w:val="false"/>
          <w:i w:val="false"/>
          <w:caps w:val="false"/>
          <w:smallCaps w:val="false"/>
          <w:sz w:val="20"/>
        </w:rPr>
        <w:t>: The Board is not aware of any other matters that are expected to come before the 2026 Annual Meeting other than those referred to in this proxy statement and as set forth above. The Board has made no recommendation as to how the proxies will vote on such other matters. If any other matter should come before the Annual Meeting, the individuals named on the proxy card intend to vote the proxies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28" w:type="dxa"/>
          <w:right w:w="0" w:type="dxa"/>
        </w:tblCellMar>
      </w:tblPr>
      <w:tblGrid>
        <w:gridCol w:w="1400"/>
        <w:gridCol w:w="75"/>
      </w:tblGrid>
      <w:tr>
        <w:trPr/>
        <w:tc>
          <w:tcPr>
            <w:tcW w:w="1400" w:type="dxa"/>
            <w:tcBorders>
              <w:bottom w:val="single" w:sz="12" w:space="0" w:color="000000"/>
            </w:tcBorders>
            <w:vAlign w:val="center"/>
          </w:tcPr>
          <w:p>
            <w:pPr>
              <w:pStyle w:val="TableContents"/>
              <w:bidi w:val="0"/>
              <w:spacing w:before="0" w:after="283"/>
              <w:jc w:val="left"/>
              <w:rPr>
                <w:i/>
                <w:sz w:val="20"/>
              </w:rPr>
            </w:pPr>
            <w:r>
              <w:rPr>
                <w:i/>
                <w:sz w:val="20"/>
              </w:rPr>
              <w:t>/s/ Geoffrey Dow</w:t>
            </w:r>
          </w:p>
        </w:tc>
        <w:tc>
          <w:tcPr>
            <w:tcW w:w="75"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sz w:val="20"/>
              </w:rPr>
            </w:pPr>
            <w:r>
              <w:rPr>
                <w:sz w:val="20"/>
              </w:rPr>
              <w:t>Geoffrey Dow</w:t>
            </w:r>
          </w:p>
        </w:tc>
        <w:tc>
          <w:tcPr>
            <w:tcW w:w="75"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sz w:val="20"/>
              </w:rPr>
            </w:pPr>
            <w:r>
              <w:rPr>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60 DEGREES PHARMACEUTICALS, INC. 2022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stockholders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of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at the Company’s 2026 Annual Meeting of Stockholders, the 60 Degrees Pharmaceuticals, Inc. 2022 Equity Incentive Plan (the “</w:t>
      </w:r>
      <w:r>
        <w:rPr>
          <w:rFonts w:ascii="Times New Roman;Times;Serif" w:hAnsi="Times New Roman;Times;Serif"/>
          <w:b w:val="false"/>
          <w:i w:val="false"/>
          <w:caps w:val="false"/>
          <w:smallCaps w:val="false"/>
          <w:sz w:val="20"/>
          <w:u w:val="single"/>
        </w:rPr>
        <w:t>2022 Plan</w:t>
      </w:r>
      <w:r>
        <w:rPr>
          <w:rFonts w:ascii="Times New Roman;Times;Serif" w:hAnsi="Times New Roman;Times;Serif"/>
          <w:b w:val="false"/>
          <w:i w:val="false"/>
          <w:caps w:val="false"/>
          <w:smallCaps w:val="false"/>
          <w:sz w:val="20"/>
        </w:rPr>
        <w:t>”) is hereby amended by amending and restating Section 3.1 in its entirety as of the effective date of the Stockholder Approval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Stock Subject to the Plan</w:t>
      </w:r>
      <w:r>
        <w:rPr>
          <w:rFonts w:ascii="Times New Roman;Times;Serif" w:hAnsi="Times New Roman;Times;Serif"/>
          <w:b w:val="false"/>
          <w:i w:val="false"/>
          <w:caps w:val="false"/>
          <w:smallCaps w:val="false"/>
          <w:sz w:val="20"/>
        </w:rPr>
        <w:t>. Subject to adjustment upon changes in capitalization of the Company as provided in Section 15 of the Plan and the automatic increase set forth in Section 3.2 of the Plan, the maximum aggregate number of Shares that may be subject to Awards and sold under the Plan will be equal to [__] Shares, In addition, Shares may become available for issuance under Sections 3.2 and 3.2 of the Plan. The Shares may be authorized but unissued, or reacquired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terms of the 2022 Plan shall be and remain unchanged and the 2022 Plan as amended hereby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Amendment to be executed by its duly authorized representative on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sz w:val="20"/>
              </w:rPr>
            </w:pPr>
            <w:r>
              <w:rPr>
                <w:sz w:val="20"/>
              </w:rPr>
              <w:t>60 DEGREES PHARMACEUTICALS,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 xml:space="preserve">Geoffrey Dow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Purposes of the Plan</w:t>
      </w:r>
      <w:r>
        <w:rPr>
          <w:rFonts w:ascii="Times New Roman;Times;Serif" w:hAnsi="Times New Roman;Times;Serif"/>
          <w:b w:val="false"/>
          <w:i w:val="false"/>
          <w:caps w:val="false"/>
          <w:smallCaps w:val="false"/>
          <w:sz w:val="20"/>
        </w:rPr>
        <w:t>. The purposes of this Plan are:</w:t>
      </w:r>
    </w:p>
    <w:p>
      <w:pPr>
        <w:pStyle w:val="TextBody"/>
        <w:bidi w:val="0"/>
        <w:spacing w:before="0" w:after="0"/>
        <w:ind w:left="2160" w:right="0" w:hanging="72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to attract and retain the best available personnel for positions of substantial responsibility,</w:t>
            </w:r>
          </w:p>
        </w:tc>
      </w:tr>
    </w:tbl>
    <w:p>
      <w:pPr>
        <w:pStyle w:val="TextBody"/>
        <w:bidi w:val="0"/>
        <w:spacing w:before="0" w:after="0"/>
        <w:ind w:left="2160" w:right="0" w:hanging="72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sz w:val="20"/>
              </w:rPr>
            </w:pPr>
            <w:r>
              <w:rPr>
                <w:sz w:val="20"/>
              </w:rPr>
              <w:t>to provide additional incentive to Employees, Directors and Consultants, and</w:t>
            </w:r>
          </w:p>
        </w:tc>
      </w:tr>
    </w:tbl>
    <w:p>
      <w:pPr>
        <w:pStyle w:val="TextBody"/>
        <w:bidi w:val="0"/>
        <w:spacing w:before="0" w:after="0"/>
        <w:ind w:left="216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to promote the success of the Company’s business.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Stock Appreciation Rights, Restricted Stock, Restricted Stock Units and Performance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means the Board or any of its Committees as will be administering the Plan, in accordance with Section 4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or Performance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Change in Ownership of the Company</w:t>
      </w:r>
      <w:r>
        <w:rPr>
          <w:rFonts w:ascii="Times New Roman;Times;Serif" w:hAnsi="Times New Roman;Times;Serif"/>
          <w:b w:val="false"/>
          <w:i w:val="false"/>
          <w:caps w:val="false"/>
          <w:smallCaps w:val="false"/>
          <w:sz w:val="20"/>
        </w:rPr>
        <w:t>. A change in the ownership of the Company which occurs on the date that any one person, or more than one person acting as a group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Change in Effective Control of the Company</w:t>
      </w:r>
      <w:r>
        <w:rPr>
          <w:rFonts w:ascii="Times New Roman;Times;Serif" w:hAnsi="Times New Roman;Times;Serif"/>
          <w:b w:val="false"/>
          <w:i w:val="false"/>
          <w:caps w:val="false"/>
          <w:smallCaps w:val="false"/>
          <w:sz w:val="20"/>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Change in Ownership of a Substantial Portion of the Company’s Assets</w:t>
      </w:r>
      <w:r>
        <w:rPr>
          <w:rFonts w:ascii="Times New Roman;Times;Serif" w:hAnsi="Times New Roman;Times;Serif"/>
          <w:b w:val="false"/>
          <w:i w:val="false"/>
          <w:caps w:val="false"/>
          <w:smallCaps w:val="false"/>
          <w:sz w:val="20"/>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a Change in Control unless the transaction qualifies as a change in control event within the meaning of Section 409A.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or by a duly authorized committee of the Board, in accordance with Section 4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60 Degrees Pharmaceuticals, Inc., a Delaware corporation, or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including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i w:val="false"/>
          <w:caps w:val="false"/>
          <w:smallCaps w:val="false"/>
          <w:sz w:val="20"/>
        </w:rPr>
        <w:t>Exchange Program</w:t>
      </w:r>
      <w:r>
        <w:rPr>
          <w:rFonts w:ascii="Times New Roman;Times;Serif" w:hAnsi="Times New Roman;Times;Serif"/>
          <w:b w:val="false"/>
          <w:i w:val="false"/>
          <w:caps w:val="false"/>
          <w:smallCaps w:val="false"/>
          <w:sz w:val="20"/>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and unless the Administrator determines otherwise, the value of Common Stock determined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such other source as the Administrator deems reliable;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such other source as the Administrator deems reliable;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absence of an established market for the Common Stock, the Fair Market Value will be determined in good faith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that by its terms qualifies and is otherwise intended to qualify as an incentive stock option within the meaning of Code Section 422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i w:val="false"/>
          <w:caps w:val="false"/>
          <w:smallCaps w:val="false"/>
          <w:sz w:val="20"/>
        </w:rPr>
        <w:t>Nonstatutory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i w:val="false"/>
          <w:caps w:val="false"/>
          <w:smallCaps w:val="false"/>
          <w:sz w:val="20"/>
        </w:rPr>
        <w:t>Outside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a “parent corporation,” whether now or hereafter existing, as defined in Code Section 424(e).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Performance Awards</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Performance Period as defined in Section 10.1.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i w:val="false"/>
          <w:caps w:val="false"/>
          <w:smallCaps w:val="false"/>
          <w:sz w:val="20"/>
        </w:rPr>
        <w:t>Period of Restriction</w:t>
      </w:r>
      <w:r>
        <w:rPr>
          <w:rFonts w:ascii="Times New Roman;Times;Serif" w:hAnsi="Times New Roman;Times;Serif"/>
          <w:b w:val="false"/>
          <w:i w:val="false"/>
          <w:caps w:val="false"/>
          <w:smallCaps w:val="false"/>
          <w:sz w:val="20"/>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60 Degrees Pharmaceuticals, Inc. 2022 Equity Incentive Plan, as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i w:val="false"/>
          <w:caps w:val="false"/>
          <w:smallCaps w:val="false"/>
          <w:sz w:val="20"/>
        </w:rPr>
        <w:t>Registration Date</w:t>
      </w:r>
      <w:r>
        <w:rPr>
          <w:rFonts w:ascii="Times New Roman;Times;Serif" w:hAnsi="Times New Roman;Times;Serif"/>
          <w:b w:val="false"/>
          <w:i w:val="false"/>
          <w:caps w:val="false"/>
          <w:smallCaps w:val="false"/>
          <w:sz w:val="20"/>
        </w:rPr>
        <w:t>” means the effective date of the first registration statement that is filed by the Company and declared effective pursuant to Section 12(b) of the Exchange Act, with respect to any class of the Company’s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means Shares issued pursuant to an Award of Restricted Stock under Section 8 of the Plan, or issued pursuant to the early exercise of an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i w:val="false"/>
          <w:caps w:val="false"/>
          <w:smallCaps w:val="false"/>
          <w:sz w:val="20"/>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9. Each Restricted Stock Unit represents an unfunded and unsecured obligation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i w:val="false"/>
          <w:caps w:val="false"/>
          <w:smallCaps w:val="false"/>
          <w:sz w:val="20"/>
        </w:rPr>
        <w:t>Section 16b</w:t>
      </w:r>
      <w:r>
        <w:rPr>
          <w:rFonts w:ascii="Times New Roman;Times;Serif" w:hAnsi="Times New Roman;Times;Serif"/>
          <w:b w:val="false"/>
          <w:i w:val="false"/>
          <w:caps w:val="false"/>
          <w:smallCaps w:val="false"/>
          <w:sz w:val="20"/>
        </w:rPr>
        <w:t>” means Section 16(b)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means Code Section 409A and the U.S. Treasury Regulations and guidance thereunder, and any applicable state law equivalent, as each may be promulgated, amended or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including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share of the Common Stock, as adjusted in accordance with Section 15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w:t>
      </w:r>
      <w:r>
        <w:rPr>
          <w:rFonts w:ascii="Times New Roman;Times;Serif" w:hAnsi="Times New Roman;Times;Serif"/>
          <w:b/>
          <w:i w:val="false"/>
          <w:caps w:val="false"/>
          <w:smallCaps w:val="false"/>
          <w:sz w:val="20"/>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7 is designated as a Stock Appreciation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 “subsidiary corporation,” whether now or hereafter existing, as defined in Code Section 424(f).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i w:val="false"/>
          <w:caps w:val="false"/>
          <w:smallCaps w:val="false"/>
          <w:sz w:val="20"/>
        </w:rPr>
        <w:t>U.S. Treasury Regulations</w:t>
      </w:r>
      <w:r>
        <w:rPr>
          <w:rFonts w:ascii="Times New Roman;Times;Serif" w:hAnsi="Times New Roman;Times;Serif"/>
          <w:b w:val="false"/>
          <w:i w:val="false"/>
          <w:caps w:val="false"/>
          <w:smallCaps w:val="false"/>
          <w:sz w:val="20"/>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Stock Subject to the Plan</w:t>
      </w:r>
      <w:r>
        <w:rPr>
          <w:rFonts w:ascii="Times New Roman;Times;Serif" w:hAnsi="Times New Roman;Times;Serif"/>
          <w:b w:val="false"/>
          <w:i w:val="false"/>
          <w:caps w:val="false"/>
          <w:smallCaps w:val="false"/>
          <w:sz w:val="20"/>
        </w:rPr>
        <w:t>. Subject to adjustment upon changes in capitalization of the Company as provided in Section 15 of the Plan and the automatic increase set forth in Section 3.2 of the Plan, the maximum aggregate number of Shares that may be subject to Awards and sold under the Plan will be equal to [___] Shares, In addition, Shares may become available for issuance under Sections 3.2 and 3.2 of the Plan. The Shares may be authorized but unissued, or reacquired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Automatic Share Reserve Increase</w:t>
      </w:r>
      <w:r>
        <w:rPr>
          <w:rFonts w:ascii="Times New Roman;Times;Serif" w:hAnsi="Times New Roman;Times;Serif"/>
          <w:b w:val="false"/>
          <w:i w:val="false"/>
          <w:caps w:val="false"/>
          <w:smallCaps w:val="false"/>
          <w:sz w:val="20"/>
        </w:rPr>
        <w:t>. Subject to adjustment upon changes in capitalization of the Company as provided in Section 15, the number of Shares available for issuance under the Plan will be increased on the first day of each Fiscal Year beginning with the 2023 Fiscal Year, in an amount equal to the least of (a) a number of Shares equal to four percent (4%) of the total number of shares of all classes of common stock of the Company outstanding on the last day of the immediately preceding Fiscal Year, or (b) such number of Shares determined by the Administrator no later than the last day of the immediately preceding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Lapsed Awards</w:t>
      </w:r>
      <w:r>
        <w:rPr>
          <w:rFonts w:ascii="Times New Roman;Times;Serif" w:hAnsi="Times New Roman;Times;Serif"/>
          <w:b w:val="false"/>
          <w:i w:val="false"/>
          <w:caps w:val="false"/>
          <w:smallCaps w:val="false"/>
          <w:sz w:val="20"/>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rPr>
        <w:t>Share Reserve</w:t>
      </w:r>
      <w:r>
        <w:rPr>
          <w:rFonts w:ascii="Times New Roman;Times;Serif" w:hAnsi="Times New Roman;Times;Serif"/>
          <w:b w:val="false"/>
          <w:i w:val="false"/>
          <w:caps w:val="false"/>
          <w:smallCaps w:val="false"/>
          <w:sz w:val="20"/>
        </w:rPr>
        <w:t>. The Company, during the term of this Plan, will at all times reserve and keep available such number of Shares as will be sufficient to satisfy the requirements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i w:val="false"/>
          <w:caps w:val="false"/>
          <w:smallCaps w:val="false"/>
          <w:sz w:val="20"/>
        </w:rPr>
        <w:t>Multiple Administrative Bodies</w:t>
      </w:r>
      <w:r>
        <w:rPr>
          <w:rFonts w:ascii="Times New Roman;Times;Serif" w:hAnsi="Times New Roman;Times;Serif"/>
          <w:b w:val="false"/>
          <w:i w:val="false"/>
          <w:caps w:val="false"/>
          <w:smallCaps w:val="false"/>
          <w:sz w:val="20"/>
        </w:rPr>
        <w:t>. Different Committees with respect to different groups of Service Providers may administer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i w:val="false"/>
          <w:caps w:val="false"/>
          <w:smallCaps w:val="false"/>
          <w:sz w:val="20"/>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which Committee will be constituted to comply with Applicable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determine the Fair Market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select the Service Providers to whom Awards may be granted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determine the number of Shares or dollar amounts to be covered by each Award granted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approve forms of Award Agreements for use under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institute and determine the terms and conditions of an Exchange Program, including, subject to Section 20.3, to unilaterally implement an Exchange Program without the consent of the applicable Award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construe and interpret the terms of the Plan and Awards granted pursuant to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prescribe, amend and rescind rules and regulations relating to the Plan, including rules and regulations relating to sub-plans established for the purpose of facilitating compliance with applicable non-U.S. laws, easing the administration of the Plan and/or for qualifying for favorable tax treatment under applicable non-U.S. laws, in each case as the Administrator may deem necessary or advisable;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allow Participants to satisfy withholding tax obligations in a manner prescribed in Section 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authorize any person to execute on behalf of the Company any instrument required to effect the grant of an Award previously granted by the Administrator;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allow a Participant to defer the receipt of the payment of cash or the delivery of Shares that otherwise would be due to such Participant under an Award;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make all other determinations deemed necessary or advisable for administering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Eligibility</w:t>
      </w:r>
      <w:r>
        <w:rPr>
          <w:rFonts w:ascii="Times New Roman;Times;Serif" w:hAnsi="Times New Roman;Times;Serif"/>
          <w:b w:val="false"/>
          <w:i w:val="false"/>
          <w:caps w:val="false"/>
          <w:smallCaps w:val="false"/>
          <w:sz w:val="20"/>
        </w:rPr>
        <w:t>. Nonstatutory Stock Options, Stock Appreciation Rights, Restricted Stock, Restricted Stock Units and Performance Awards may be granted to Service Providers. Incentive Stock Options may be granted only to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Grant of Options</w:t>
      </w:r>
      <w:r>
        <w:rPr>
          <w:rFonts w:ascii="Times New Roman;Times;Serif" w:hAnsi="Times New Roman;Times;Serif"/>
          <w:b w:val="false"/>
          <w:i w:val="false"/>
          <w:caps w:val="false"/>
          <w:smallCaps w:val="false"/>
          <w:sz w:val="20"/>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Option Agreement</w:t>
      </w:r>
      <w:r>
        <w:rPr>
          <w:rFonts w:ascii="Times New Roman;Times;Serif" w:hAnsi="Times New Roman;Times;Serif"/>
          <w:b w:val="false"/>
          <w:i w:val="false"/>
          <w:caps w:val="false"/>
          <w:smallCaps w:val="false"/>
          <w:sz w:val="20"/>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Term of Option</w:t>
      </w:r>
      <w:r>
        <w:rPr>
          <w:rFonts w:ascii="Times New Roman;Times;Serif" w:hAnsi="Times New Roman;Times;Serif"/>
          <w:b w:val="false"/>
          <w:i w:val="false"/>
          <w:caps w:val="false"/>
          <w:smallCaps w:val="false"/>
          <w:sz w:val="20"/>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6.5.1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6.5.2 </w:t>
      </w:r>
      <w:r>
        <w:rPr>
          <w:rFonts w:ascii="Times New Roman;Times;Serif" w:hAnsi="Times New Roman;Times;Serif"/>
          <w:b/>
          <w:i w:val="false"/>
          <w:caps w:val="false"/>
          <w:smallCaps w:val="false"/>
          <w:sz w:val="20"/>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6.5.3 </w:t>
      </w:r>
      <w:r>
        <w:rPr>
          <w:rFonts w:ascii="Times New Roman;Times;Serif" w:hAnsi="Times New Roman;Times;Serif"/>
          <w:b/>
          <w:i w:val="false"/>
          <w:caps w:val="false"/>
          <w:smallCaps w:val="false"/>
          <w:sz w:val="20"/>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6.6.1 </w:t>
      </w:r>
      <w:r>
        <w:rPr>
          <w:rFonts w:ascii="Times New Roman;Times;Serif" w:hAnsi="Times New Roman;Times;Serif"/>
          <w:b/>
          <w:i w:val="false"/>
          <w:caps w:val="false"/>
          <w:smallCaps w:val="false"/>
          <w:sz w:val="20"/>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6.6.2 </w:t>
      </w:r>
      <w:r>
        <w:rPr>
          <w:rFonts w:ascii="Times New Roman;Times;Serif" w:hAnsi="Times New Roman;Times;Serif"/>
          <w:b/>
          <w:i w:val="false"/>
          <w:caps w:val="false"/>
          <w:smallCaps w:val="false"/>
          <w:sz w:val="20"/>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6.6.3 </w:t>
      </w:r>
      <w:r>
        <w:rPr>
          <w:rFonts w:ascii="Times New Roman;Times;Serif" w:hAnsi="Times New Roman;Times;Serif"/>
          <w:b/>
          <w:i w:val="false"/>
          <w:caps w:val="false"/>
          <w:smallCaps w:val="false"/>
          <w:sz w:val="20"/>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six (6) months of such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6.6.4 </w:t>
      </w:r>
      <w:r>
        <w:rPr>
          <w:rFonts w:ascii="Times New Roman;Times;Serif" w:hAnsi="Times New Roman;Times;Serif"/>
          <w:b/>
          <w:i w:val="false"/>
          <w:caps w:val="false"/>
          <w:smallCaps w:val="false"/>
          <w:sz w:val="20"/>
        </w:rPr>
        <w:t>Death of Participant</w:t>
      </w:r>
      <w:r>
        <w:rPr>
          <w:rFonts w:ascii="Times New Roman;Times;Serif" w:hAnsi="Times New Roman;Times;Serif"/>
          <w:b w:val="false"/>
          <w:i w:val="false"/>
          <w:caps w:val="false"/>
          <w:smallCaps w:val="false"/>
          <w:sz w:val="20"/>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Times;Serif" w:hAnsi="Times New Roman;Times;Serif"/>
          <w:b/>
          <w:i w:val="false"/>
          <w:caps w:val="false"/>
          <w:smallCaps w:val="false"/>
          <w:sz w:val="20"/>
        </w:rPr>
        <w:t>Legal Representative</w:t>
      </w:r>
      <w:r>
        <w:rPr>
          <w:rFonts w:ascii="Times New Roman;Times;Serif" w:hAnsi="Times New Roman;Times;Serif"/>
          <w:b w:val="false"/>
          <w:i w:val="false"/>
          <w:caps w:val="false"/>
          <w:smallCaps w:val="false"/>
          <w:sz w:val="20"/>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6.6.5 </w:t>
      </w:r>
      <w:r>
        <w:rPr>
          <w:rFonts w:ascii="Times New Roman;Times;Serif" w:hAnsi="Times New Roman;Times;Serif"/>
          <w:b/>
          <w:i w:val="false"/>
          <w:caps w:val="false"/>
          <w:smallCaps w:val="false"/>
          <w:sz w:val="20"/>
        </w:rPr>
        <w:t>Tolling Expiration</w:t>
      </w:r>
      <w:r>
        <w:rPr>
          <w:rFonts w:ascii="Times New Roman;Times;Serif" w:hAnsi="Times New Roman;Times;Serif"/>
          <w:b w:val="false"/>
          <w:i w:val="false"/>
          <w:caps w:val="false"/>
          <w:smallCaps w:val="false"/>
          <w:sz w:val="20"/>
        </w:rPr>
        <w:t>. A Participant’s Award Agreement may also provide that: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rPr>
        <w:t>Number of Shares</w:t>
      </w:r>
      <w:r>
        <w:rPr>
          <w:rFonts w:ascii="Times New Roman;Times;Serif" w:hAnsi="Times New Roman;Times;Serif"/>
          <w:b w:val="false"/>
          <w:i w:val="false"/>
          <w:caps w:val="false"/>
          <w:smallCaps w:val="false"/>
          <w:sz w:val="20"/>
        </w:rPr>
        <w:t>. The Administrator will have complete discretion to determine the number of Shares subject to any Award of Stock Appreciation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val="false"/>
          <w:caps w:val="false"/>
          <w:smallCaps w:val="false"/>
          <w:sz w:val="20"/>
        </w:rPr>
        <w:t>Exercise Price and Other Terms</w:t>
      </w:r>
      <w:r>
        <w:rPr>
          <w:rFonts w:ascii="Times New Roman;Times;Serif" w:hAnsi="Times New Roman;Times;Serif"/>
          <w:b w:val="false"/>
          <w:i w:val="false"/>
          <w:caps w:val="false"/>
          <w:smallCaps w:val="false"/>
          <w:sz w:val="20"/>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rPr>
        <w:t>Stock Appreciation Right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i w:val="false"/>
          <w:caps w:val="false"/>
          <w:smallCaps w:val="false"/>
          <w:sz w:val="20"/>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i w:val="false"/>
          <w:caps w:val="false"/>
          <w:smallCaps w:val="false"/>
          <w:sz w:val="20"/>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difference between the Fair Market Value of a Share on the date of exercise over the exercise price; times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with respect to which the Stock Appreciation Right is exercised.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rPr>
        <w:t>Transferability</w:t>
      </w:r>
      <w:r>
        <w:rPr>
          <w:rFonts w:ascii="Times New Roman;Times;Serif" w:hAnsi="Times New Roman;Times;Serif"/>
          <w:b w:val="false"/>
          <w:i w:val="false"/>
          <w:caps w:val="false"/>
          <w:smallCaps w:val="false"/>
          <w:sz w:val="20"/>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rPr>
        <w:t>Removal of Restrictions</w:t>
      </w:r>
      <w:r>
        <w:rPr>
          <w:rFonts w:ascii="Times New Roman;Times;Serif" w:hAnsi="Times New Roman;Times;Serif"/>
          <w:b w:val="false"/>
          <w:i w:val="false"/>
          <w:caps w:val="false"/>
          <w:smallCaps w:val="false"/>
          <w:sz w:val="20"/>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i w:val="false"/>
          <w:caps w:val="false"/>
          <w:smallCaps w:val="false"/>
          <w:sz w:val="20"/>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i w:val="false"/>
          <w:caps w:val="false"/>
          <w:smallCaps w:val="false"/>
          <w:sz w:val="20"/>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Form and Timing of Payment</w:t>
      </w:r>
      <w:r>
        <w:rPr>
          <w:rFonts w:ascii="Times New Roman;Times;Serif" w:hAnsi="Times New Roman;Times;Serif"/>
          <w:b w:val="false"/>
          <w:i w:val="false"/>
          <w:caps w:val="false"/>
          <w:smallCaps w:val="false"/>
          <w:sz w:val="20"/>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Performance Awards</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rPr>
        <w:t xml:space="preserve">Objectives or Vesting Provisions and Other Terms. </w:t>
      </w:r>
      <w:r>
        <w:rPr>
          <w:rFonts w:ascii="Times New Roman;Times;Serif" w:hAnsi="Times New Roman;Times;Serif"/>
          <w:b w:val="false"/>
          <w:i w:val="false"/>
          <w:caps w:val="false"/>
          <w:smallCaps w:val="false"/>
          <w:sz w:val="20"/>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i w:val="false"/>
          <w:caps w:val="false"/>
          <w:smallCaps w:val="false"/>
          <w:sz w:val="20"/>
        </w:rPr>
        <w:t>Earning Performance Awards</w:t>
      </w:r>
      <w:r>
        <w:rPr>
          <w:rFonts w:ascii="Times New Roman;Times;Serif" w:hAnsi="Times New Roman;Times;Serif"/>
          <w:b w:val="false"/>
          <w:i w:val="false"/>
          <w:caps w:val="false"/>
          <w:smallCaps w:val="false"/>
          <w:sz w:val="20"/>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val="false"/>
          <w:caps w:val="false"/>
          <w:smallCaps w:val="false"/>
          <w:sz w:val="20"/>
        </w:rPr>
        <w:t>Form and Timing of Payment</w:t>
      </w:r>
      <w:r>
        <w:rPr>
          <w:rFonts w:ascii="Times New Roman;Times;Serif" w:hAnsi="Times New Roman;Times;Serif"/>
          <w:b w:val="false"/>
          <w:i w:val="false"/>
          <w:caps w:val="false"/>
          <w:smallCaps w:val="false"/>
          <w:sz w:val="20"/>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val="false"/>
          <w:caps w:val="false"/>
          <w:smallCaps w:val="false"/>
          <w:sz w:val="20"/>
        </w:rPr>
        <w:t>Cancellation of Performance Awards</w:t>
      </w:r>
      <w:r>
        <w:rPr>
          <w:rFonts w:ascii="Times New Roman;Times;Serif" w:hAnsi="Times New Roman;Times;Serif"/>
          <w:b w:val="false"/>
          <w:i w:val="false"/>
          <w:caps w:val="false"/>
          <w:smallCaps w:val="false"/>
          <w:sz w:val="20"/>
        </w:rPr>
        <w:t>. On the date set forth in the Award Agreement, all unearned or unvested Performance Awards will be forfeited to the Company, and again will be available for grant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Outside Director Award Limitations</w:t>
      </w:r>
      <w:r>
        <w:rPr>
          <w:rFonts w:ascii="Times New Roman;Times;Serif" w:hAnsi="Times New Roman;Times;Serif"/>
          <w:b w:val="false"/>
          <w:i w:val="false"/>
          <w:caps w:val="false"/>
          <w:smallCaps w:val="false"/>
          <w:sz w:val="20"/>
        </w:rPr>
        <w:t>.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such individual’s initial service as an Outside Director. Any Awards granted or other compensation provided to an individual (a) for such individual’s services as an Employee, or for such individual’s services as a Consultant (other than as an Outside Director), or (b) prior to the Registration Date, will be excluded for purposes of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Compliance With Section 409A</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Leaves of Absence/Transfer Between Locations</w:t>
      </w:r>
      <w:r>
        <w:rPr>
          <w:rFonts w:ascii="Times New Roman;Times;Serif" w:hAnsi="Times New Roman;Times;Serif"/>
          <w:b w:val="false"/>
          <w:i w:val="false"/>
          <w:caps w:val="false"/>
          <w:smallCaps w:val="false"/>
          <w:sz w:val="20"/>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Limited Transferability of Awards</w:t>
      </w:r>
      <w:r>
        <w:rPr>
          <w:rFonts w:ascii="Times New Roman;Times;Serif" w:hAnsi="Times New Roman;Times;Serif"/>
          <w:b w:val="false"/>
          <w:i w:val="false"/>
          <w:caps w:val="false"/>
          <w:smallCaps w:val="false"/>
          <w:sz w:val="20"/>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6.6.4),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w:t>
      </w:r>
      <w:r>
        <w:rPr>
          <w:rFonts w:ascii="Times New Roman;Times;Serif" w:hAnsi="Times New Roman;Times;Serif"/>
          <w:b/>
          <w:i w:val="false"/>
          <w:caps w:val="false"/>
          <w:smallCaps w:val="false"/>
          <w:sz w:val="20"/>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i w:val="false"/>
          <w:caps w:val="false"/>
          <w:smallCaps w:val="false"/>
          <w:sz w:val="20"/>
        </w:rPr>
        <w:t>Dissolution or Liquidation</w:t>
      </w:r>
      <w:r>
        <w:rPr>
          <w:rFonts w:ascii="Times New Roman;Times;Serif" w:hAnsi="Times New Roman;Times;Serif"/>
          <w:b w:val="false"/>
          <w:i w:val="false"/>
          <w:caps w:val="false"/>
          <w:smallCaps w:val="false"/>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i w:val="false"/>
          <w:caps w:val="false"/>
          <w:smallCaps w:val="false"/>
          <w:sz w:val="20"/>
        </w:rPr>
        <w:t>Merger or Change in Control</w:t>
      </w:r>
      <w:r>
        <w:rPr>
          <w:rFonts w:ascii="Times New Roman;Times;Serif" w:hAnsi="Times New Roman;Times;Serif"/>
          <w:b w:val="false"/>
          <w:i w:val="false"/>
          <w:caps w:val="false"/>
          <w:smallCaps w:val="false"/>
          <w:sz w:val="20"/>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successor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acquiring or successor corporation (or an affiliate thereof) does not assume the Award (or portion thereof) as described below or substitute for the Award (or portion thereof) as described above, then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15.3 will be delayed until the earliest time that such payment would be permissible under Section 409A without triggering any penalties applicable under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15.4 </w:t>
      </w:r>
      <w:r>
        <w:rPr>
          <w:rFonts w:ascii="Times New Roman;Times;Serif" w:hAnsi="Times New Roman;Times;Serif"/>
          <w:b/>
          <w:i w:val="false"/>
          <w:caps w:val="false"/>
          <w:smallCaps w:val="false"/>
          <w:sz w:val="20"/>
        </w:rPr>
        <w:t>Outside Director Awards</w:t>
      </w:r>
      <w:r>
        <w:rPr>
          <w:rFonts w:ascii="Times New Roman;Times;Serif" w:hAnsi="Times New Roman;Times;Serif"/>
          <w:b w:val="false"/>
          <w:i w:val="false"/>
          <w:caps w:val="false"/>
          <w:smallCaps w:val="false"/>
          <w:sz w:val="20"/>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Participant and the Company or any of its Subsidiaries or Parents,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Tax Withholding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or other social insurance contribution obligation) required to be withheld or paid with respect to such Award (or exercise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Effective Date; Term of Plan</w:t>
      </w:r>
      <w:r>
        <w:rPr>
          <w:rFonts w:ascii="Times New Roman;Times;Serif" w:hAnsi="Times New Roman;Times;Serif"/>
          <w:b w:val="false"/>
          <w:i w:val="false"/>
          <w:caps w:val="false"/>
          <w:smallCaps w:val="false"/>
          <w:sz w:val="20"/>
        </w:rPr>
        <w:t xml:space="preserve">. Subject to Section </w:t>
      </w:r>
      <w:r>
        <w:rPr>
          <w:rFonts w:ascii="Times New Roman;Times;Serif" w:hAnsi="Times New Roman;Times;Serif"/>
          <w:b/>
          <w:i w:val="false"/>
          <w:caps w:val="false"/>
          <w:smallCaps w:val="false"/>
          <w:sz w:val="20"/>
        </w:rPr>
        <w:t>Error! Reference source not found.</w:t>
      </w:r>
      <w:r>
        <w:rPr>
          <w:rFonts w:ascii="Times New Roman;Times;Serif" w:hAnsi="Times New Roman;Times;Serif"/>
          <w:b w:val="false"/>
          <w:i w:val="false"/>
          <w:caps w:val="false"/>
          <w:smallCaps w:val="false"/>
          <w:sz w:val="20"/>
        </w:rPr>
        <w:t>3 of the Plan, the Plan will become effective upon the later to occur of (i) its adoption by the Board or (ii) the business day immediately prior to the Registration Date. It will continue in effect until terminated under Section 20, but no Incentive Stock Options may be granted after 10 years from the date adopted by the Board and Section 3.2 will operate only until the 10th anniversary of the date the Plan is adopted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w:t>
      </w:r>
      <w:r>
        <w:rPr>
          <w:rFonts w:ascii="Times New Roman;Times;Serif" w:hAnsi="Times New Roman;Times;Serif"/>
          <w:b/>
          <w:i w:val="false"/>
          <w:caps w:val="false"/>
          <w:smallCaps w:val="false"/>
          <w:sz w:val="20"/>
        </w:rPr>
        <w:t>Amendment and Termination</w:t>
      </w:r>
      <w:r>
        <w:rPr>
          <w:rFonts w:ascii="Times New Roman;Times;Serif" w:hAnsi="Times New Roman;Times;Serif"/>
          <w:b w:val="false"/>
          <w:i w:val="false"/>
          <w:caps w:val="false"/>
          <w:smallCaps w:val="false"/>
          <w:sz w:val="20"/>
        </w:rPr>
        <w:t>. The Administrator, in its sole discretion, may amend, alter, suspend or terminate the Plan, or any part thereof, at any time and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 </w:t>
      </w:r>
      <w:r>
        <w:rPr>
          <w:rFonts w:ascii="Times New Roman;Times;Serif" w:hAnsi="Times New Roman;Times;Serif"/>
          <w:b/>
          <w:i w:val="false"/>
          <w:caps w:val="false"/>
          <w:smallCaps w:val="false"/>
          <w:sz w:val="20"/>
        </w:rPr>
        <w:t>Effect of Amendment or Termination</w:t>
      </w:r>
      <w:r>
        <w:rPr>
          <w:rFonts w:ascii="Times New Roman;Times;Serif" w:hAnsi="Times New Roman;Times;Serif"/>
          <w:b w:val="false"/>
          <w:i w:val="false"/>
          <w:caps w:val="false"/>
          <w:smallCaps w:val="false"/>
          <w:sz w:val="20"/>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i w:val="false"/>
          <w:caps w:val="false"/>
          <w:smallCaps w:val="false"/>
          <w:sz w:val="20"/>
        </w:rPr>
        <w:t>Legal Compliance</w:t>
      </w:r>
      <w:r>
        <w:rPr>
          <w:rFonts w:ascii="Times New Roman;Times;Serif" w:hAnsi="Times New Roman;Times;Serif"/>
          <w:b w:val="false"/>
          <w:i w:val="false"/>
          <w:caps w:val="false"/>
          <w:smallCaps w:val="false"/>
          <w:sz w:val="20"/>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i w:val="false"/>
          <w:caps w:val="false"/>
          <w:smallCaps w:val="false"/>
          <w:sz w:val="20"/>
        </w:rPr>
        <w:t>Investment Representations</w:t>
      </w:r>
      <w:r>
        <w:rPr>
          <w:rFonts w:ascii="Times New Roman;Times;Serif" w:hAnsi="Times New Roman;Times;Serif"/>
          <w:b w:val="false"/>
          <w:i w:val="false"/>
          <w:caps w:val="false"/>
          <w:smallCaps w:val="false"/>
          <w:sz w:val="20"/>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Inability to Obtain Authority</w:t>
      </w:r>
      <w:r>
        <w:rPr>
          <w:rFonts w:ascii="Times New Roman;Times;Serif" w:hAnsi="Times New Roman;Times;Serif"/>
          <w:b w:val="false"/>
          <w:i w:val="false"/>
          <w:caps w:val="false"/>
          <w:smallCaps w:val="false"/>
          <w:sz w:val="20"/>
        </w:rPr>
        <w:t>.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Forfeiture Events</w:t>
      </w:r>
      <w:r>
        <w:rPr>
          <w:rFonts w:ascii="Times New Roman;Times;Serif" w:hAnsi="Times New Roman;Times;Serif"/>
          <w:b w:val="false"/>
          <w:i w:val="false"/>
          <w:caps w:val="false"/>
          <w:smallCaps w:val="false"/>
          <w:sz w:val="20"/>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The Administrator may require a Participant to forfeit, or return to the Company,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242 of the 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Degrees Pharmaceuticals, Inc., a corporation organized and existing under and by virtue of the General Corporation Law of the State of Delaware,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at a meeting of the Board of Directors of 60 Degrees Pharmaceuticals, Inc. resolutions were duly adopted setting forth a proposed amendments of the certificate of incorporation of said corporation (the “Certificate of Incorporation”), declaring said amendments to be advisable and calling a meeting of the stockholders of said corporation for consideration thereof. The resolution setting forth the proposed amendment is as follows:</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Certificate of Incorporation of this corporation be amended by deleting Section 4 in its entirety and inserting the following:</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The total number of shares of stock which the Corporation shall have the authority to issue shall be One Hundred Fifty One Million (151,000,000) shares. The Corporation shall be authorized to issue two classes of shares of stock, designated as “Common Stock” and “Preferred Stock.” The Corporation shall be authorized to issue One Hundred Fifty Million (150,000,000) shares of Common Stock, each share to have a par value of $0.0001 per share, and One Million (1,000,000) shares of Preferred Stock, each share to have a par value of $0.0001 per share.</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Effective as of 12:01 a.m. Eastern Time on ________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each ____ shares of the Corporation’s Common Stock issued and outstanding immediately prior to the Effective Time shall, automatically and without any action on the part of the Corporation or the respective holders thereof, be combined and converted into one share of Common Stock without increasing or decreasing the par value of each share of Common Stock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No fractional shares of Common Stock shall be issued as a result of the Reverse Stock Split and, in lieu thereof, upon surrender after the Effective Time of a certificate or book entry position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one whole share. The Reverse Stock Split shall occur whether or not the certificates representing such shares of Common Stock are surrendered to the Corporation or its transfer agent. Each certificate or book entry position that immediately prior to the Effective Time represented shares of Common Stock shall thereafter represent the number of shares of Common Stock into which the shares of Common Stock represented by such certificate or book entry position has been combined, subject to the right to receive a whole share in lieu of any fractional share of Common Stock as set forth above.”</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That thereafter, the holders of outstanding stock having not less than the minimum number of votes that would be necessary to authorize or take such action at a stockholders meeting at which all shares entitled to vote thereon were present and voted, approved of the proposed amendment at the Annual Meeting of Stockholders held on [____], 2026 pursuant to Section 242 of the General Corporation Law of the State of Delaware.</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That said amendment was duly adopted in accordance with the provisions of Section 242 of the General Corporation Law of the State of Delaware.</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said corporation has caused this certificate to be signed on [*], 2026.</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Geoffrey Dow</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Amendment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75"/>
        <w:gridCol w:w="1051"/>
        <w:gridCol w:w="2508"/>
      </w:tblGrid>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5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sz w:val="20"/>
              </w:rPr>
            </w:pPr>
            <w:r>
              <w:rPr>
                <w:sz w:val="20"/>
              </w:rPr>
              <w:t>60 DEGREES PHARMACEUTICALS, INC.</w:t>
            </w:r>
          </w:p>
        </w:tc>
      </w:tr>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sz w:val="20"/>
              </w:rPr>
            </w:pPr>
            <w:r>
              <w:rPr>
                <w:sz w:val="20"/>
              </w:rPr>
              <w:t>a Delaware corporation</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5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sz w:val="20"/>
              </w:rPr>
            </w:pPr>
            <w:r>
              <w:rPr>
                <w:sz w:val="20"/>
              </w:rPr>
              <w:t>By:</w:t>
            </w:r>
          </w:p>
        </w:tc>
        <w:tc>
          <w:tcPr>
            <w:tcW w:w="25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sz w:val="20"/>
              </w:rPr>
            </w:pPr>
            <w:r>
              <w:rPr>
                <w:sz w:val="20"/>
              </w:rPr>
              <w:t>Name:</w:t>
            </w:r>
          </w:p>
        </w:tc>
        <w:tc>
          <w:tcPr>
            <w:tcW w:w="25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sz w:val="20"/>
              </w:rPr>
            </w:pPr>
            <w:r>
              <w:rPr>
                <w:sz w:val="20"/>
              </w:rPr>
              <w:t>Title:</w:t>
            </w:r>
          </w:p>
        </w:tc>
        <w:tc>
          <w:tcPr>
            <w:tcW w:w="250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15" w:type="dxa"/>
        <w:jc w:val="left"/>
        <w:tblInd w:w="0" w:type="dxa"/>
        <w:tblLayout w:type="fixed"/>
        <w:tblCellMar>
          <w:top w:w="0" w:type="dxa"/>
          <w:left w:w="0" w:type="dxa"/>
          <w:bottom w:w="0" w:type="dxa"/>
          <w:right w:w="0" w:type="dxa"/>
        </w:tblCellMar>
      </w:tblPr>
      <w:tblGrid>
        <w:gridCol w:w="75"/>
        <w:gridCol w:w="651"/>
        <w:gridCol w:w="989"/>
      </w:tblGrid>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b/>
                <w:sz w:val="20"/>
              </w:rPr>
            </w:pPr>
            <w:r>
              <w:rPr>
                <w:b/>
                <w:sz w:val="20"/>
              </w:rPr>
              <w:t>OPTIONHOLDER</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20"/>
              </w:rPr>
            </w:pPr>
            <w:r>
              <w:rPr>
                <w:sz w:val="20"/>
              </w:rPr>
              <w:t>Name:</w:t>
            </w:r>
          </w:p>
        </w:tc>
        <w:tc>
          <w:tcPr>
            <w:tcW w:w="98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724775" cy="1000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This proxy is solicited on behalf of the Board of Directors VOTE BY INTERNET - www.SXTP.vote 60 DEGREES PHARMACEUTICALS, INC Use the Internet to vote by proxy up until 11:59 P.M. Eastern Time on August 4, 2026. Have your proxy card in hand when you access the website and then follow the instructions. Enter the 12 digit Control Number below and follow the instructions to vote your proxy. 1025 Connecticut Avenue NW Suite 1000 - Washington, D.C. 20036 VOTE BY MAIL Mark, sign, and date this proxy card and promptly return to EQUITY STOCK TRANSFER, 237 W 37TH ST, Suite 602, New York, NY 10018, ATTN: Shareholder Services. VOTE BY FAX or BY EMAIL Mark, sign, and date this proxy card and promptly return it by fax: (347)-584-3644 ATTN: Shareholder Services or by email: proxy@equitystock.com ATTN: Shareholder Services. CONTROL# The undersigned hereby appoints Mr. Geoffrey Dow, the true and lawful proxy of the undersigned, with full power of substitution, to vote all shares of the common stock, $0.0001 par value per share, of 60 Degrees Pharmaceuticals, Inc., (the “Company”), which the undersigned is entitled to vote at the 2026 annual meeting of stockholders of the Company to be held at 12:00 p.m., Eastern Time, on August 5, 2026, (the “Annual Meeting”) to be held virtually by calling (877)-407-3088 (toll free) or +1-877-407-3088 (International), and any adjournment or adjournment or postponement thereof. There will not be a physical meeting location. THE BOARD OF DIRECTORS RECOMMENDS THAT YOU VOTE “FOR” THE ELECTION OF EACH OF THE DIRECTOR NOMINEES IN PROPOSAL 1, "FOR" PROPOSALS 2 THROUGH 6. TO VOTE, MARK BLOCKS BELOW IN BLUE OR BLACK INK AS FOLLOWS: 1. Election of five (5) Directors. For Withhold Nominees: 1a. Geoffrey Dow 1b. Eric Francois 1c. Cheryl Xu 1d. Stephen Toovey 1e. Paul Field For Against Abstain 2. To approve an amendment to the 60 Degrees Pharmaceuticals, Inc. 2022 Equity Incentive Plan (the “2022 Plan”) to increase the number of shares of common stock available for issuance by 800,000 shares. 3. To approve an amendment to the Company's certificate of incorporation, as corrected (“Certificate of Incorporation”), to effect a reverse stock split of our common stock at a reverse stock split ratio ranging from 1:5 to 1:10 inclusive, as determined by our Board of Directors in its sole discretion. 4. To ratify the selection by our Board of Directors of RBSM LLP as the Company's independent auditor for the fiscal year ending December 31, 2026. 5. To approve a payment to management of a success fee of five percent (5%) of deal proceeds between a deal value of $40 and 100 million, and 6% of deal proceeds for a deal value in excess of $100 million, in the event of a change of control/strategic transaction or sale of Arakoda, to be awarded as cash or equity to members of the management team, as determined by the Board of Directors at its sole discretion. 6. To approve adjourning the Annual Meeting, if necessary, to solicit additional proxies in the event there are not sufficient votes in favor of the Director Election Proposal, the 2022 Plan Amendment Proposal and the Certificate of Incorporation Amendment Proposal at the time of the Annual Meeting . Note: To transact such other business as may properly come before the Annual Meeting or any postponement or adjournment thereof. If you encounter any technical difficulties with the virtual meeting platform on the meeting day, please call 877-804-2062 (toll free) or email proxy@equitystock.com Please sign exactly as your name appears hereon. When signing as attorney, executor, administrator, trustee, guardian, or corporate officer, please indicate full title as such. Joint owners should each sign personally. All holders must sign. If a corporation, please sign the full corporate or partnership name, by authorized officer. Signature [PLEASE SIGN WITHIN BOX] Date Signature (Joint Owners)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38087</Words>
  <Characters>199441</Characters>
  <CharactersWithSpaces>238018</CharactersWithSpaces>
  <Paragraphs>2891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