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9" w:lineRule="exact"/>
        <w:rPr>
          <w:sz w:val="24"/>
          <w:szCs w:val="24"/>
          <w:color w:val="auto"/>
        </w:rPr>
      </w:pPr>
    </w:p>
    <w:p>
      <w:pPr>
        <w:ind w:left="1840" w:hanging="200"/>
        <w:spacing w:after="0"/>
        <w:tabs>
          <w:tab w:leader="none" w:pos="18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UNDER SECTION 13 OR 15(d) OF THE SECURITIES EXCHANGE ACT OF 1934</w:t>
      </w:r>
    </w:p>
    <w:p>
      <w:pPr>
        <w:spacing w:after="0" w:line="221" w:lineRule="exact"/>
        <w:rPr>
          <w:rFonts w:ascii="MS PGothic" w:cs="MS PGothic" w:eastAsia="MS PGothic" w:hAnsi="MS PGothic"/>
          <w:sz w:val="18"/>
          <w:szCs w:val="18"/>
          <w:color w:val="auto"/>
        </w:rPr>
      </w:pPr>
    </w:p>
    <w:p>
      <w:pPr>
        <w:ind w:left="38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9" w:lineRule="exact"/>
        <w:rPr>
          <w:rFonts w:ascii="MS PGothic" w:cs="MS PGothic" w:eastAsia="MS PGothic" w:hAnsi="MS PGothic"/>
          <w:sz w:val="18"/>
          <w:szCs w:val="18"/>
          <w:color w:val="auto"/>
        </w:rPr>
      </w:pPr>
    </w:p>
    <w:p>
      <w:pPr>
        <w:ind w:left="1680" w:hanging="200"/>
        <w:spacing w:after="0"/>
        <w:tabs>
          <w:tab w:leader="none" w:pos="1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3"/>
          </w:tcPr>
          <w:p>
            <w:pPr>
              <w:jc w:val="center"/>
              <w:ind w:left="3490"/>
              <w:spacing w:after="0"/>
              <w:rPr>
                <w:sz w:val="20"/>
                <w:szCs w:val="20"/>
                <w:color w:val="auto"/>
              </w:rPr>
            </w:pPr>
            <w:r>
              <w:rPr>
                <w:rFonts w:ascii="Times New Roman" w:cs="Times New Roman" w:eastAsia="Times New Roman" w:hAnsi="Times New Roman"/>
                <w:sz w:val="18"/>
                <w:szCs w:val="18"/>
                <w:color w:val="auto"/>
                <w:w w:val="99"/>
              </w:rPr>
              <w:t>For the transition period from ______ until ______</w:t>
            </w:r>
          </w:p>
        </w:tc>
        <w:tc>
          <w:tcPr>
            <w:tcW w:w="3580" w:type="dxa"/>
            <w:vAlign w:val="bottom"/>
          </w:tcPr>
          <w:p>
            <w:pPr>
              <w:spacing w:after="0"/>
              <w:rPr>
                <w:sz w:val="20"/>
                <w:szCs w:val="20"/>
                <w:color w:val="auto"/>
              </w:rPr>
            </w:pPr>
          </w:p>
        </w:tc>
      </w:tr>
      <w:tr>
        <w:trPr>
          <w:trHeight w:val="432"/>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Commission File Number: 001-41719</w:t>
            </w:r>
          </w:p>
        </w:tc>
        <w:tc>
          <w:tcPr>
            <w:tcW w:w="3580" w:type="dxa"/>
            <w:vAlign w:val="bottom"/>
          </w:tcPr>
          <w:p>
            <w:pPr>
              <w:spacing w:after="0"/>
              <w:rPr>
                <w:sz w:val="24"/>
                <w:szCs w:val="24"/>
                <w:color w:val="auto"/>
              </w:rPr>
            </w:pPr>
          </w:p>
        </w:tc>
      </w:tr>
      <w:tr>
        <w:trPr>
          <w:trHeight w:val="41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c>
          <w:tcPr>
            <w:tcW w:w="3580" w:type="dxa"/>
            <w:vAlign w:val="bottom"/>
          </w:tcPr>
          <w:p>
            <w:pPr>
              <w:spacing w:after="0"/>
              <w:rPr>
                <w:sz w:val="24"/>
                <w:szCs w:val="24"/>
                <w:color w:val="auto"/>
              </w:rPr>
            </w:pPr>
          </w:p>
        </w:tc>
      </w:tr>
      <w:tr>
        <w:trPr>
          <w:trHeight w:val="234"/>
        </w:trPr>
        <w:tc>
          <w:tcPr>
            <w:tcW w:w="7660" w:type="dxa"/>
            <w:vAlign w:val="bottom"/>
            <w:gridSpan w:val="3"/>
          </w:tcPr>
          <w:p>
            <w:pPr>
              <w:jc w:val="center"/>
              <w:ind w:left="351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580" w:type="dxa"/>
            <w:vAlign w:val="bottom"/>
          </w:tcPr>
          <w:p>
            <w:pPr>
              <w:spacing w:after="0"/>
              <w:rPr>
                <w:sz w:val="20"/>
                <w:szCs w:val="20"/>
                <w:color w:val="auto"/>
              </w:rPr>
            </w:pPr>
          </w:p>
        </w:tc>
      </w:tr>
      <w:tr>
        <w:trPr>
          <w:trHeight w:val="439"/>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8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45-2406880</w:t>
            </w:r>
          </w:p>
        </w:tc>
      </w:tr>
      <w:tr>
        <w:trPr>
          <w:trHeight w:val="198"/>
        </w:trPr>
        <w:tc>
          <w:tcPr>
            <w:tcW w:w="55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2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8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80" w:type="dxa"/>
            <w:vAlign w:val="bottom"/>
          </w:tcPr>
          <w:p>
            <w:pPr>
              <w:jc w:val="center"/>
              <w:ind w:right="18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60" w:type="dxa"/>
            <w:vAlign w:val="bottom"/>
            <w:gridSpan w:val="3"/>
          </w:tcPr>
          <w:p>
            <w:pPr>
              <w:jc w:val="center"/>
              <w:ind w:right="2120"/>
              <w:spacing w:after="0"/>
              <w:rPr>
                <w:sz w:val="20"/>
                <w:szCs w:val="20"/>
                <w:color w:val="auto"/>
              </w:rPr>
            </w:pPr>
            <w:r>
              <w:rPr>
                <w:rFonts w:ascii="Times New Roman" w:cs="Times New Roman" w:eastAsia="Times New Roman" w:hAnsi="Times New Roman"/>
                <w:sz w:val="18"/>
                <w:szCs w:val="18"/>
                <w:b w:val="1"/>
                <w:bCs w:val="1"/>
                <w:color w:val="auto"/>
                <w:w w:val="99"/>
              </w:rPr>
              <w:t>1025 Connecticut Avenue NW Suite 1000</w:t>
            </w:r>
          </w:p>
        </w:tc>
        <w:tc>
          <w:tcPr>
            <w:tcW w:w="3580" w:type="dxa"/>
            <w:vAlign w:val="bottom"/>
          </w:tcPr>
          <w:p>
            <w:pPr>
              <w:spacing w:after="0"/>
              <w:rPr>
                <w:sz w:val="24"/>
                <w:szCs w:val="24"/>
                <w:color w:val="auto"/>
              </w:rPr>
            </w:pPr>
          </w:p>
        </w:tc>
      </w:tr>
      <w:tr>
        <w:trPr>
          <w:trHeight w:val="245"/>
        </w:trPr>
        <w:tc>
          <w:tcPr>
            <w:tcW w:w="766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Washington, D.C.</w:t>
            </w:r>
          </w:p>
        </w:tc>
        <w:tc>
          <w:tcPr>
            <w:tcW w:w="358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20036</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20" w:type="dxa"/>
            <w:vAlign w:val="bottom"/>
            <w:tcBorders>
              <w:top w:val="single" w:sz="8" w:color="auto"/>
            </w:tcBorders>
          </w:tcPr>
          <w:p>
            <w:pPr>
              <w:spacing w:after="0"/>
              <w:rPr>
                <w:sz w:val="20"/>
                <w:szCs w:val="20"/>
                <w:color w:val="auto"/>
              </w:rPr>
            </w:pPr>
          </w:p>
        </w:tc>
        <w:tc>
          <w:tcPr>
            <w:tcW w:w="3580" w:type="dxa"/>
            <w:vAlign w:val="bottom"/>
            <w:tcBorders>
              <w:top w:val="single" w:sz="8" w:color="auto"/>
            </w:tcBorders>
          </w:tcPr>
          <w:p>
            <w:pPr>
              <w:jc w:val="center"/>
              <w:ind w:right="1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 (202) 327-5422</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8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60" w:type="dxa"/>
            <w:vAlign w:val="bottom"/>
            <w:gridSpan w:val="2"/>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center"/>
              <w:ind w:right="650"/>
              <w:spacing w:after="0"/>
              <w:rPr>
                <w:sz w:val="20"/>
                <w:szCs w:val="20"/>
                <w:color w:val="auto"/>
              </w:rPr>
            </w:pPr>
            <w:r>
              <w:rPr>
                <w:rFonts w:ascii="Times New Roman" w:cs="Times New Roman" w:eastAsia="Times New Roman" w:hAnsi="Times New Roman"/>
                <w:sz w:val="18"/>
                <w:szCs w:val="18"/>
                <w:color w:val="auto"/>
                <w:w w:val="99"/>
              </w:rPr>
              <w:t>SXTP</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8"/>
        </w:trPr>
        <w:tc>
          <w:tcPr>
            <w:tcW w:w="4580" w:type="dxa"/>
            <w:vAlign w:val="bottom"/>
            <w:gridSpan w:val="4"/>
          </w:tcPr>
          <w:p>
            <w:pPr>
              <w:jc w:val="center"/>
              <w:ind w:right="960"/>
              <w:spacing w:after="0" w:line="198" w:lineRule="exact"/>
              <w:rPr>
                <w:sz w:val="20"/>
                <w:szCs w:val="20"/>
                <w:color w:val="auto"/>
              </w:rPr>
            </w:pPr>
            <w:r>
              <w:rPr>
                <w:rFonts w:ascii="Times New Roman" w:cs="Times New Roman" w:eastAsia="Times New Roman" w:hAnsi="Times New Roman"/>
                <w:sz w:val="18"/>
                <w:szCs w:val="18"/>
                <w:color w:val="auto"/>
                <w:w w:val="99"/>
              </w:rPr>
              <w:t>Warrants, each warrant to purchase one share of</w:t>
            </w:r>
          </w:p>
        </w:tc>
        <w:tc>
          <w:tcPr>
            <w:tcW w:w="3060" w:type="dxa"/>
            <w:vAlign w:val="bottom"/>
            <w:gridSpan w:val="2"/>
          </w:tcPr>
          <w:p>
            <w:pPr>
              <w:jc w:val="center"/>
              <w:ind w:right="940"/>
              <w:spacing w:after="0" w:line="198" w:lineRule="exact"/>
              <w:rPr>
                <w:sz w:val="20"/>
                <w:szCs w:val="20"/>
                <w:color w:val="auto"/>
              </w:rPr>
            </w:pPr>
            <w:r>
              <w:rPr>
                <w:rFonts w:ascii="Times New Roman" w:cs="Times New Roman" w:eastAsia="Times New Roman" w:hAnsi="Times New Roman"/>
                <w:sz w:val="18"/>
                <w:szCs w:val="18"/>
                <w:color w:val="auto"/>
                <w:w w:val="98"/>
              </w:rPr>
              <w:t>SXTPW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58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color w:val="auto"/>
              </w:rPr>
              <w:t>Common Stock</w:t>
            </w:r>
          </w:p>
        </w:tc>
        <w:tc>
          <w:tcPr>
            <w:tcW w:w="2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92"/>
        </w:trPr>
        <w:tc>
          <w:tcPr>
            <w:tcW w:w="45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2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84"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post such files).</w:t>
      </w:r>
    </w:p>
    <w:p>
      <w:pPr>
        <w:spacing w:after="0" w:line="135" w:lineRule="exact"/>
        <w:rPr>
          <w:sz w:val="24"/>
          <w:szCs w:val="24"/>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2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244475</wp:posOffset>
            </wp:positionV>
            <wp:extent cx="717486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64" w:orient="portrait"/>
          <w:cols w:equalWidth="0" w:num="1">
            <w:col w:w="11240"/>
          </w:cols>
          <w:pgMar w:left="320" w:top="522" w:right="339" w:bottom="0" w:gutter="0" w:footer="0" w:header="0"/>
        </w:sectPr>
      </w:pPr>
    </w:p>
    <w:bookmarkStart w:id="1" w:name="page2"/>
    <w:bookmarkEnd w:id="1"/>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0"/>
          <w:szCs w:val="20"/>
          <w:color w:val="auto"/>
        </w:rPr>
      </w:pPr>
    </w:p>
    <w:p>
      <w:pPr>
        <w:ind w:left="5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of the Registrant on June 30, 2025 (which is the last business day of Registrant’s most recently completed second fiscal quarter) based upon checking the closing market price of such stock on The Nasdaq Capital Market on June 30, 2025 was approximately $3.34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30, 2026 the Registrant had 2,636,788 shares of common stock, par value $0.0001 per share, issued and outstanding.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467360</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gridSpan w:val="9"/>
          </w:tcPr>
          <w:p>
            <w:pPr>
              <w:ind w:left="7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196"/>
        </w:trPr>
        <w:tc>
          <w:tcPr>
            <w:tcW w:w="10240" w:type="dxa"/>
            <w:vAlign w:val="bottom"/>
            <w:gridSpan w:val="29"/>
            <w:shd w:val="clear" w:color="auto" w:fill="CCEEFF"/>
          </w:tcPr>
          <w:p>
            <w:pPr>
              <w:spacing w:after="0" w:line="142" w:lineRule="exact"/>
              <w:rPr>
                <w:sz w:val="20"/>
                <w:szCs w:val="20"/>
                <w:color w:val="auto"/>
              </w:rPr>
            </w:pPr>
            <w:r>
              <w:rPr>
                <w:rFonts w:ascii="Times New Roman" w:cs="Times New Roman" w:eastAsia="Times New Roman" w:hAnsi="Times New Roman"/>
                <w:sz w:val="16"/>
                <w:szCs w:val="16"/>
                <w:b w:val="1"/>
                <w:bCs w:val="1"/>
                <w:color w:val="0000FF"/>
              </w:rPr>
              <w:t>PART I</w:t>
            </w:r>
          </w:p>
        </w:tc>
        <w:tc>
          <w:tcPr>
            <w:tcW w:w="100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1</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1. Description of Business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2280" w:type="dxa"/>
            <w:vAlign w:val="bottom"/>
            <w:tcBorders>
              <w:top w:val="single" w:sz="8" w:color="0000FF"/>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FF"/>
              </w:rPr>
              <w:t>Item 1A. Risk Factors</w:t>
            </w:r>
          </w:p>
        </w:tc>
        <w:tc>
          <w:tcPr>
            <w:tcW w:w="7960" w:type="dxa"/>
            <w:vAlign w:val="bottom"/>
            <w:tcBorders>
              <w:top w:val="single" w:sz="8" w:color="CCEEFF"/>
            </w:tcBorders>
            <w:gridSpan w:val="1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1B. Unresolved Staff Comments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2720" w:type="dxa"/>
            <w:vAlign w:val="bottom"/>
            <w:tcBorders>
              <w:top w:val="single" w:sz="8" w:color="0000FF"/>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FF"/>
              </w:rPr>
              <w:t>Item 1C. Cybersecurity</w:t>
            </w:r>
          </w:p>
        </w:tc>
        <w:tc>
          <w:tcPr>
            <w:tcW w:w="7520" w:type="dxa"/>
            <w:vAlign w:val="bottom"/>
            <w:tcBorders>
              <w:top w:val="single" w:sz="8" w:color="CCEEFF"/>
            </w:tcBorders>
            <w:gridSpan w:val="1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30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Item 2. Properties</w:t>
            </w:r>
          </w:p>
        </w:tc>
        <w:tc>
          <w:tcPr>
            <w:tcW w:w="8940" w:type="dxa"/>
            <w:vAlign w:val="bottom"/>
            <w:tcBorders>
              <w:bottom w:val="single" w:sz="8" w:color="CCEEFF"/>
            </w:tcBorders>
            <w:gridSpan w:val="23"/>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Item 3. Legal Proceedings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4. 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8640" w:type="dxa"/>
            <w:vAlign w:val="bottom"/>
            <w:tcBorders>
              <w:bottom w:val="single" w:sz="8" w:color="0000FF"/>
            </w:tcBorders>
            <w:gridSpan w:val="2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Item 5. Market for Registrant’s Common Equity, Related Stockholder Matters and Issuer Purchases of Equity Securities</w:t>
            </w:r>
          </w:p>
        </w:tc>
        <w:tc>
          <w:tcPr>
            <w:tcW w:w="16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Item 6. [Reserved]</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7020" w:type="dxa"/>
            <w:vAlign w:val="bottom"/>
            <w:tcBorders>
              <w:bottom w:val="single" w:sz="8" w:color="0000FF"/>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Item 7. Management’s Discussion and Analysis of Financial Condition and Results of Operations</w:t>
            </w:r>
          </w:p>
        </w:tc>
        <w:tc>
          <w:tcPr>
            <w:tcW w:w="322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Item 7A. Quantitative and Qualitative Disclosures About Market Risk</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3900" w:type="dxa"/>
            <w:vAlign w:val="bottom"/>
            <w:tcBorders>
              <w:bottom w:val="single" w:sz="8" w:color="0000FF"/>
            </w:tcBorders>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Item 8. Financial Statements and Supplementary Data</w:t>
            </w:r>
          </w:p>
        </w:tc>
        <w:tc>
          <w:tcPr>
            <w:tcW w:w="6340" w:type="dxa"/>
            <w:vAlign w:val="bottom"/>
            <w:tcBorders>
              <w:bottom w:val="single" w:sz="8" w:color="CCEEFF"/>
            </w:tcBorders>
            <w:gridSpan w:val="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Item 9. Changes in and Disagreements with Accountants on Accounting and Financial Disclosure</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9A. 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50</w:t>
            </w:r>
          </w:p>
        </w:tc>
      </w:tr>
      <w:tr>
        <w:trPr>
          <w:trHeight w:val="175"/>
        </w:trPr>
        <w:tc>
          <w:tcPr>
            <w:tcW w:w="2460" w:type="dxa"/>
            <w:vAlign w:val="bottom"/>
            <w:tcBorders>
              <w:top w:val="single" w:sz="8" w:color="0000FF"/>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FF"/>
              </w:rPr>
              <w:t>Item 9B. Other Information</w:t>
            </w:r>
          </w:p>
        </w:tc>
        <w:tc>
          <w:tcPr>
            <w:tcW w:w="7780" w:type="dxa"/>
            <w:vAlign w:val="bottom"/>
            <w:tcBorders>
              <w:top w:val="single" w:sz="8" w:color="CCEEFF"/>
            </w:tcBorders>
            <w:gridSpan w:val="1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9C. Disclosure Regarding Foreign Jurisdictions that Prevent Inspections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54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III</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10. Directors, Executive Officers and Corporate Governance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176"/>
        </w:trPr>
        <w:tc>
          <w:tcPr>
            <w:tcW w:w="4740" w:type="dxa"/>
            <w:vAlign w:val="bottom"/>
            <w:tcBorders>
              <w:top w:val="single" w:sz="8" w:color="0000FF"/>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FF"/>
              </w:rPr>
              <w:t>Item 11. Executive Compensation</w:t>
            </w:r>
          </w:p>
        </w:tc>
        <w:tc>
          <w:tcPr>
            <w:tcW w:w="5500" w:type="dxa"/>
            <w:vAlign w:val="bottom"/>
            <w:tcBorders>
              <w:top w:val="single" w:sz="8" w:color="CCEEFF"/>
            </w:tcBorders>
            <w:gridSpan w:val="8"/>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58</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12. Security Ownership of Certain Beneficial Owners and Management and Related Stockholder Matters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65</w:t>
            </w:r>
          </w:p>
        </w:tc>
      </w:tr>
      <w:tr>
        <w:trPr>
          <w:trHeight w:val="176"/>
        </w:trPr>
        <w:tc>
          <w:tcPr>
            <w:tcW w:w="7940" w:type="dxa"/>
            <w:vAlign w:val="bottom"/>
            <w:tcBorders>
              <w:top w:val="single" w:sz="8" w:color="0000FF"/>
            </w:tcBorders>
            <w:gridSpan w:val="27"/>
          </w:tcPr>
          <w:p>
            <w:pPr>
              <w:spacing w:after="0" w:line="176" w:lineRule="exact"/>
              <w:rPr>
                <w:sz w:val="20"/>
                <w:szCs w:val="20"/>
                <w:color w:val="auto"/>
              </w:rPr>
            </w:pPr>
            <w:r>
              <w:rPr>
                <w:rFonts w:ascii="Times New Roman" w:cs="Times New Roman" w:eastAsia="Times New Roman" w:hAnsi="Times New Roman"/>
                <w:sz w:val="18"/>
                <w:szCs w:val="18"/>
                <w:color w:val="0000FF"/>
              </w:rPr>
              <w:t>Item 13. Certain Relationships and Related Transactions, and Director Independence</w:t>
            </w:r>
          </w:p>
        </w:tc>
        <w:tc>
          <w:tcPr>
            <w:tcW w:w="2300" w:type="dxa"/>
            <w:vAlign w:val="bottom"/>
            <w:tcBorders>
              <w:top w:val="single" w:sz="8" w:color="CCEEFF"/>
            </w:tcBorders>
            <w:gridSpan w:val="2"/>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Item 14. Principal Accountant Fees and Services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66</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1024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216"/>
        </w:trPr>
        <w:tc>
          <w:tcPr>
            <w:tcW w:w="6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820" w:type="dxa"/>
            <w:vAlign w:val="bottom"/>
            <w:tcBorders>
              <w:bottom w:val="single" w:sz="8" w:color="0000FF"/>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Item 15. Exhibits and Financial Statement Schedules</w:t>
            </w:r>
          </w:p>
        </w:tc>
        <w:tc>
          <w:tcPr>
            <w:tcW w:w="6420" w:type="dxa"/>
            <w:vAlign w:val="bottom"/>
            <w:tcBorders>
              <w:bottom w:val="single" w:sz="8" w:color="CCEEFF"/>
            </w:tcBorders>
            <w:gridSpan w:val="1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67</w:t>
            </w: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Item 16. Form 10-K Summary</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70</w:t>
            </w:r>
          </w:p>
        </w:tc>
      </w:tr>
      <w:tr>
        <w:trPr>
          <w:trHeight w:val="20"/>
        </w:trPr>
        <w:tc>
          <w:tcPr>
            <w:tcW w:w="6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175"/>
        </w:trPr>
        <w:tc>
          <w:tcPr>
            <w:tcW w:w="102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r>
      <w:tr>
        <w:trPr>
          <w:trHeight w:val="20"/>
        </w:trPr>
        <w:tc>
          <w:tcPr>
            <w:tcW w:w="6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this Annual Report on Form 10-K, unless otherwise stated or as the context otherwise requires, references to “60 Degrees Pharmaceuticals, Inc.,” “60 Degrees Pharmaceuticals,” “60P,” the “Company,” “we,” “us,” “our” and similar references refer to 60 Degrees Pharmaceuticals, Inc., a Delaware corporation. Our logo and other trademarks or service marks of the Company appearing in this Annual Report on Form 10-K are the property of 60 Degrees Pharmaceuticals, Inc. This Annual Report on Form 10-K also contains registered marks, trademarks and trade names of other companies. All other trademarks, registered marks and trade names appearing in this Annual Report on Form 10-K are the property of their respective 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 and Industry Data</w:t>
      </w:r>
    </w:p>
    <w:p>
      <w:pPr>
        <w:sectPr>
          <w:pgSz w:w="11900" w:h="16838" w:orient="portrait"/>
          <w:cols w:equalWidth="0" w:num="1">
            <w:col w:w="11240"/>
          </w:cols>
          <w:pgMar w:left="320" w:top="337" w:right="339" w:bottom="19" w:gutter="0" w:footer="0" w:header="0"/>
        </w:sectPr>
      </w:pPr>
    </w:p>
    <w:bookmarkStart w:id="2" w:name="page3"/>
    <w:bookmarkEnd w:id="2"/>
    <w:p>
      <w:pPr>
        <w:jc w:val="both"/>
        <w:spacing w:after="0" w:line="256" w:lineRule="auto"/>
        <w:rPr>
          <w:sz w:val="20"/>
          <w:szCs w:val="20"/>
          <w:color w:val="auto"/>
        </w:rPr>
      </w:pPr>
      <w:r>
        <w:rPr>
          <w:rFonts w:ascii="Times New Roman" w:cs="Times New Roman" w:eastAsia="Times New Roman" w:hAnsi="Times New Roman"/>
          <w:sz w:val="18"/>
          <w:szCs w:val="18"/>
          <w:color w:val="auto"/>
        </w:rPr>
        <w:t>This Annual Report on Form 10-K, in particular,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contains certain “forward-looking statements” within the meaning of Section 27A of the Securities Act of 1933, as amended (the “Securities Act”), and Section 21E of the Securities Exchange Act of 1934, as amended (the “Exchange Act”). These forward-looking statements represent our expectations, beliefs, intentions or strategies concerning future events, including, but not limited to, any statements regarding our assumptions about financial performance; the continuation of historical trends; the sufficiency of our cash balances for future liquidity and capital resource needs; the expected impact of changes in accounting policies on our results of operations, financial condition or cash flows; anticipated problems and our plans for future operations; and the economy in general or the future of the industry in which we operate, all of which were subject to various risks and uncertainties.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used in this Annual Report on Form 10-K and other reports, statements and information we have filed with the Securities and Exchange Commission (“SEC”), in our press releases, presentations to securities analysts or investors, in oral statements made by or with the approval of an executive officer, the words or phrases “believes,” “may,” “will,” “expects,” “should,” “continue,” “anticipates,” “intends,” “will likely result,” “estimates,” “projects” or similar expressions and variations thereof are intended to identify such forward-looking statements. However, any statements contained in this Annual Report on Form 10-K that are not statements of historical fact may be deemed to be forward-looking statements. These statements are only predictions. All forward-looking statements included in this Annual Report on Form 10-K are based on information available to us on the date hereof, and we assume no obligation to update any such forward-looking statements. Any or all of our forward-looking statements in this document may turn out to be wrong. Actual events or results may differ materially. Our forward-looking statements can be affected by inaccurate assumptions we might make or by known or unknown risks, uncertainties and other factors.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10-K also contains estimates, projections and other information concerning our industry, our business and particular markets,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general publications, government data and similar sources.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Description of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a specialty pharmaceutical company with a goal of using cutting-edge biological science and applied research to further develop and commercialize new therapies for the prevention and treatment of infectious diseases. We have successfully achieved regulatory approval of Arakoda, a malaria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preventative treatment that has been on the market since late 2019. Currently, 60P’s pipeline under development covers development programs for vector-borne, fungal, and viral diseases utilizing three of the Company’s future products: (i) new products that contain the Arakoda regimen of Tafenoquine; (ii) new products that contain Tafenoquine; and (iii) Celgosivir and/or botanical extracts from Australian Chestnut Trees.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History</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60 Degrees Pharmaceuticals, Inc. is a Delaware corporation that was incorporated on June 1, 2022. On June 1, 2022, 60 Degrees Pharmaceuticals, LLC, a District of Columbia limited liability company (“60P LLC”), entered into the Agreement and Plan of Merger with 60 Degrees Pharmaceuticals, Inc., pursuant to which 60P LLC merged into 60 Degrees Pharmaceuticals, Inc. The value of each outstanding membership interest in 60P LLC was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correspondingly converted into common stock of 60 Degrees Pharmaceuticals, Inc., par value $0.0001 per share, with a cost-basis equal to $1,200.00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operate one subsidiary. A summary of our majority-owned subsidiary is below.</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own 97% equity in 60P Australia Pty Ltd, a Sydney, Australia-based subsidiary (“60P Australia”). 60P Australia holds sub-licensing rights for several ex-U.S. territories for our product.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60P Australia previously solely owned a Singaporean subsidiary company, 60P Singapore Pte. Ltd., which dissolved at our election in the second quarter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Reverse Stock Splits</w:t>
      </w:r>
    </w:p>
    <w:p>
      <w:pPr>
        <w:spacing w:after="0" w:line="16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On October 8, 2025, a majority of the stockholders of the Company approved the proposed reverse stock split of our Common Stock at a split ratio ranging between 1:3 and 1:10, as to be determined by the Board in its sole discretion. On December 17, 2025, our Board approved a 1-for-4 reverse split ratio. On January 20, 2026, we effectuated a 1-for-4 reverse stock split of our common stock (the “1:4 Reverse Stock Split” and together, with the 1:5 Reverse Stock Split and the 1:12 Reverse Stock Split, each as defined below, the “Reverse Stock Splits”). Beginning January 20, 2026, our common stock traded on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Nasdaq Capital Market on a split adjusted basis.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November 6, 2024, our Board approved a reverse stock split of our Common Stock at a split ratio ranging between 1:3 and 1:5, as determined by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Board in its sole discretion. On November 6, 2024, a majority of the stockholders of the Company approved the proposed reverse stock split. On February 10, 2025, the Board approved a 1-for-5 reverse split ratio. On February 24, 2025, we effectuated a 1-for-5 reverse stock split of our common stock (the “1:5 Reverse Stock Split”). Beginning February 24, 2025, our common stock traded on The Nasdaq Capital Market on a split adjusted basis.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Previously, at the 2024 Annual Meeting of Stockholders in July 2024, our stockholders approved an amendment to our Certificate of Incorporation to effect reverse stock split of our common stock at a range of ratios between 1:5 to 1:12, and on July 19, 2024, our Board approved the implementation of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reverse stock split at a ratio of 1:12 (the “1:12 Reverse Stock Split”). On August 12, 2024, we effectuated a 1-for-12 reverse stock split of our common stock. Beginning August 12, 2024, our common stock began trading on The Nasdaq Capital Market on a split adjusted basis.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Reverse Stock Splits did not change the authorized number of shares of common stock or preferred stock. Proportional adjustments were made to the number of shares of common stock issuable upon exercise or conversion of our equity awards, warrants, and other equity instruments convertible into common stock, as well as the respective exercise prices, if applicable in accordance with the terms of the instruments. No fractional shares of common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stock were issued in connection with the Reverse Stock Splits and all fractional shares were rounded up to the nearest whole share with respect to outstanding shares of common stock.</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Unless otherwise noted, all references to numbers of shares of our common stock and per share information presented in this Annual Report on Form 10-K have been retroactively restated, as appropriate, to reflect the effect of the Reverse Stock Splits.</w:t>
      </w:r>
    </w:p>
    <w:p>
      <w:pPr>
        <w:sectPr>
          <w:pgSz w:w="11900" w:h="16838" w:orient="portrait"/>
          <w:cols w:equalWidth="0" w:num="1">
            <w:col w:w="11240"/>
          </w:cols>
          <w:pgMar w:left="320" w:top="119" w:right="339" w:bottom="0"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7486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18415"/>
                    </a:xfrm>
                    <a:prstGeom prst="rect">
                      <a:avLst/>
                    </a:prstGeom>
                    <a:noFill/>
                  </pic:spPr>
                </pic:pic>
              </a:graphicData>
            </a:graphic>
          </wp:anchor>
        </w:drawing>
      </w:r>
    </w:p>
    <w:p>
      <w:pPr>
        <w:sectPr>
          <w:pgSz w:w="11900" w:h="16838" w:orient="portrait"/>
          <w:cols w:equalWidth="0" w:num="1">
            <w:col w:w="11240"/>
          </w:cols>
          <w:pgMar w:left="320" w:top="119" w:right="33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2025 Annual Meeting of Stockholders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October 8, 2025, we conducted our virtual 2025 Annual Meeting of Stockholders (the “2025 Annual Meeting”). Our stockholders of record at the close of business on August 29, 2025, the record date for the determination of stockholders entitled to vote at the 2025 Annual Meeting, approved the proposals to (1) elect five directors to serve until the 2026 Annual Meeting of Stockholders and until their respective successors are duly elected and qualified; (2)</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approve an amendment to the 2022 Plan to increase the number of shares of common stock available for issuance by 62,500 shares; (3) approve an amendment to the Company’s Certificate of Incorporation, to effect a reverse stock split of the common stock at a reverse stock split ratio ranging from 1:3 to 1:10 inclusive, as may be determined at the appropriate time by the Board of Directors, in its sole discretion; and (4) ratify the selection of RBSM LLP</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Board of Directors as the Company’s independent registered public accounting firm for the fiscal year ending December 31,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2025 ATM Agreement</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September 5, 2025, we entered into an At-The-Market Sales Agreement (the “2025 ATM Agreement”) with H.C. Wainwright &amp; Co., LLC (“Wainwright”) pursuant to which we may, from time to time, offer and sell shares of our common stock, having aggregate gross sales proceeds of up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$1,397,532 (the “2025 ATM Offering”). As compensation for acting as the sales agent for the 2025 ATM Offering, Wainwright was entitled to a commission of 3.0% of the gross proceeds from sales of shares in the 2025 ATM Offering.</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common stock sold under the 2025 ATM Agreement was issued and sold pursuant to our shelf registration statement on Form S-3 and accompanying base prospectus (Registration Statement No. 333-280796), which was declared effective by the SEC on July 18, 2024, and our prospectus supplement dated September 5, 2025 relating to the offer and sale of the shares pursuant to the 2025 ATM Agreement.</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Between October 16, 2025 and January 22, 2026, we sold an aggregate of 555,593 shares at a weighted average price per share of $2.51, generating net proceeds of $1,239,819, after deducting commissions and other offering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2026 ATM Offering</w:t>
      </w:r>
    </w:p>
    <w:p>
      <w:pPr>
        <w:spacing w:after="0" w:line="162"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7"/>
          <w:szCs w:val="17"/>
          <w:color w:val="auto"/>
        </w:rPr>
        <w:t>On March 2, 2026, we filed a prospectus supplement pursuant to Rule 424(b)(5) (the “2026 ATM Prospectus Supplement”) in connection with our At-The-Market Offering Agreement, with H.C. Wainwright &amp; Co., LLC, pursuant to which we may, from time to time, offer and sell additional shares of our common stock having aggregate sales proceeds of up to $1,308,000 (the “2026 ATM Prospectus Supplement”). The 2026 ATM Prospectus Supplement was</w:t>
      </w:r>
    </w:p>
    <w:p>
      <w:pPr>
        <w:jc w:val="both"/>
        <w:spacing w:after="0" w:line="226" w:lineRule="auto"/>
        <w:rPr>
          <w:sz w:val="20"/>
          <w:szCs w:val="20"/>
          <w:color w:val="auto"/>
        </w:rPr>
      </w:pPr>
      <w:r>
        <w:rPr>
          <w:rFonts w:ascii="Times New Roman" w:cs="Times New Roman" w:eastAsia="Times New Roman" w:hAnsi="Times New Roman"/>
          <w:sz w:val="18"/>
          <w:szCs w:val="18"/>
          <w:color w:val="auto"/>
        </w:rPr>
        <w:t>subsequently amended on March 11, 2026, to increase the maximum aggregate offering price under the 2026 ATM Offering by $981,000 (the “2026 ATM Prospectus Supplement Amendment,” and together with the 2026 ATM Prospectus Supplement the “2026 ATM Offering”).</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As compensation for acting as the sales agent for the 2026 ATM Offering, Wainwright is entitled to a commission of 3.0% of the gross proceeds from the sales of shares in the 2026 ATM Offering.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that may be sold pursuant to the 2026 ATM Prospectus Supplement will be issued and sold pursuant to our shelf registration statement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Form S-3 and accompanying base prospectus (Registration Statement No. 333-280796), which was declared effective by the SEC on July 18, 2024, and the 2026 ATM Prospectus Supplement relating to the offer and sale of the shares pursuant to the 2025 ATM Agreement.</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Between March 2, 2026 and March 25, 2026, we sold an aggregate of 1,055,106 shares at a weighted average price per share of $2.49, generating net proceeds of $2,545,297, after deducting commissions and other offering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July 2025 Offering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15, 2025, we entered into a securities purchase agreement with certain institutional investors pursuant to which we sold, in a registered direct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offering (the “July 2025 Offering”), 438,332 units at an offering price of $7.60 per unit and 219,569 pre-funded units at an offering price of $7.596 per pre-funded unit. Each unit consisted of (i) one share of common stock, (ii) one series A-1 warrant exercisable for one share of common stock (the “July 2025 A-1 Warrants”), and (iii) one series A-2 warrant exercisable for one share of common stock (the “July 2025 A-2 Warrants” and together with the July 2025</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A-1 Warrants, the “July 2025 Warrants”). Each pre-funded unit consists of one pre-funded warrant exercisable for one share of common stock (the “July 2025 Pre-Funded Warrants”) and warrants identical to the July 2025 Warrants included in the units. The July 2025 Pre-Funded Warrants have an exercise price of $0.004 per share, and were immediately exercisable beginning on July 16, 2025 until exercised in full. The July 2025 A-1 Warrants have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exercise price of $7.60 per share and are exercisable beginning on July 16, 2025 until July 15, 2030. The July 2025 A-2 Warrants have an exercise price of $7.60 per share and are exercisable beginning on July 16, 2025 until January 15, 2027.</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July 2025 Offering, we also issued to H.C. Wainwright &amp; Co., LLC warrants (the “July 2025 Placement Agent Warrants”) to purchase up to 49,342 shares of common stock. The July 2025 Placement Agent Warrants have an exercise price equal to $9.50 per share and are exercisable upon issuance, or July 16, 2025, and expire five years from the date of issuance, or July 15, 2030. The July 2025</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Offering was made pursuant to our registration statement on Form S-1 (File No. 333-288550), which was declared effective by the Securities and Exchange Commission (the “SEC”) on July 15, 2025, and the final prospectus, which we filed with the SEC on July 16, 2025. The Offering closed on July 16, 2025, resulting in net proceeds of approximately $4,281,300, after deducting placement agent fees and other offering expenses paid by us.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February 2025 Offering</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On February 5, 2025, we entered into a securities purchase agreement (the “February 2025 Securities Purchase Agreement”) with certain institutional investors (the “February 2025 Purchasers”) pursuant to which the Company sold an aggregate of 75,176 shares (the “February 2025 Shares”) of common stock at a purchase price of $14.30 per share in a registered direct offering priced at-the-market under the rules of Nasdaq (the “February 2025 Offering”).</w:t>
      </w:r>
    </w:p>
    <w:p>
      <w:pPr>
        <w:spacing w:after="0" w:line="131"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The February 2025 Shares were offered pursuant to a “shelf” registration statement on Form S-3 (Registration No. 333-280796), which was declared effective by the Securities and Exchange Commission (the “SEC”) on July 18, 2024 as supplemented by a prospectus supplement dated February 5,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the SEC on February 6, 2025 and accompanying base prospectus, pursuant to Rule 424(b)(5) promulgated under the Securities 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 concurrent private placement, the Company also issued to the February 2025 Purchasers unregistered warrants (the “February 2025 Warrants”)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purchase up to an aggregate of 75,176 shares of common stock at an exercise price of $11.80 per share. The February 2025 Warrants are exercisable upon issuance and expire twenty-four months from the date of issuance.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Pursuant to the February 2025 Securities Purchase Agreement, we were required to file a registration statement with the SEC within 45 days after the date of the February 2025 Securities Purchase Agreement to register the shares underlying the February 2025 Warrants under the Securities Act. We agreed to use commercially reasonable efforts to cause such registration statement to become effective within 75 days following the closing date of the February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2025 Offering, and to keep such registration statement effective at all times until no February 2025 Purchaser owns any February 2025 Warrants or shares underlying the February 2025 Warrants issuable upon exercise thereof. Subsequently on February 14, 2025, we filed a registration statement covering the resale of the shares issuable upon exercise of the February 2025 Warrants and the February 2025 Placement Agent Warrants (as defined below) on Form 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(File No. 333-284983), which was declared effective by the Securities and Exchange Commission on April 2, 2025.</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holder will not have the right to exercise any portion of the February 2025 Warrants if the holder (together with its affiliates) would beneficially own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more than 4.99% (or, upon the election of the holder, 9.99%) of the number of shares of the common stock outstanding immediately after giving effect to the exercise, as such percentage ownership is determined in accordance with the terms of the February 2025 Warrants. However, any holder may increase or decrease such percentage, provided that any increase will not be effective until the 61st day after such election.</w:t>
      </w:r>
    </w:p>
    <w:p>
      <w:pPr>
        <w:sectPr>
          <w:pgSz w:w="11900" w:h="16838" w:orient="portrait"/>
          <w:cols w:equalWidth="0" w:num="1">
            <w:col w:w="11240"/>
          </w:cols>
          <w:pgMar w:left="320" w:top="104" w:right="339" w:bottom="0" w:gutter="0" w:footer="0" w:header="0"/>
        </w:sectPr>
      </w:pPr>
    </w:p>
    <w:bookmarkStart w:id="4" w:name="page5"/>
    <w:bookmarkEnd w:id="4"/>
    <w:p>
      <w:pPr>
        <w:jc w:val="both"/>
        <w:spacing w:after="0" w:line="223" w:lineRule="auto"/>
        <w:rPr>
          <w:sz w:val="20"/>
          <w:szCs w:val="20"/>
          <w:color w:val="auto"/>
        </w:rPr>
      </w:pPr>
      <w:r>
        <w:rPr>
          <w:rFonts w:ascii="Times New Roman" w:cs="Times New Roman" w:eastAsia="Times New Roman" w:hAnsi="Times New Roman"/>
          <w:sz w:val="18"/>
          <w:szCs w:val="18"/>
          <w:color w:val="auto"/>
        </w:rPr>
        <w:t>The exercise price of the February 2025 Warrants is subject to customary adjustment in the event of certain stock dividends and distributions, stock splits, stock combinations, reclassifications or similar events affecting the common stock and also upon any distributions of assets, including cash, stock or other</w:t>
      </w:r>
    </w:p>
    <w:p>
      <w:pPr>
        <w:spacing w:after="0"/>
        <w:rPr>
          <w:sz w:val="20"/>
          <w:szCs w:val="20"/>
          <w:color w:val="auto"/>
        </w:rPr>
      </w:pPr>
      <w:r>
        <w:rPr>
          <w:rFonts w:ascii="Times New Roman" w:cs="Times New Roman" w:eastAsia="Times New Roman" w:hAnsi="Times New Roman"/>
          <w:sz w:val="18"/>
          <w:szCs w:val="18"/>
          <w:color w:val="auto"/>
        </w:rPr>
        <w:t>property to the stockholders of the Company.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the February 2025 Warrants pursuant to the February 2025 Securities Purchase Agreement and issuance of the February 2025 Placement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Agent Warrants (defined below) were made pursuant to the exemption from the registration requirements under the Securities Act, available to the Company under Section 4(a)(2) promulgated thereunder and Rule 506 of Regulation D promulgated under the Securities Act due to the fact the offering of the February 2025 Common Warrants and the February 2025 Placement Agent Warrants thereunder did not involve a public offering of securities.</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February 2025 Securities Purchase Agreement contained customary representations and warranties. The February 2025 Offering closed on February 6,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Engagement Agreement, the Placement Agent acted as the Company’s exclusive placement agent in connection with the offering.</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Pursuant to the terms of the Engagement Agreement, the Company paid the Placement Agent a cash transaction fee equal to 7.5% of the aggregate gross cash proceeds in the offering and a management fee equal to 1.0% of the aggregate gross cash proceeds in the offering. In addition, the Company paid for certain non-accountable expenses in the amount of $15,000 and a clearing fee in the amount of $10,000. The Company also issued to the Placement Agent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its designees) warrants to purchase up to 5,640 shares of Common Stock (the “February 2025 Placement Agent Warrants”). The February 2025 Placement Agent Warrants have an exercise price equal to $17.88 per share and are exercisable upon issuance and expire twenty-four months from the date of issuance.</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received net proceeds of $908,627 from the offering, after deducting estimated offering expenses paid by the Company, including the Placement Agent fees. The Company intends to use the net proceeds from the offering for general corporate purposes, including working capital.</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January 2025 Offering</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January 28, 2025, we entered into a securities purchase agreement (the “January 2025 Securities Purchase Agreement”) with certain institutional investors (the “January 2025 Purchasers”) pursuant to which the Company sold, in a registered direct offering an aggregate of 51,079 shares (the “January 2025 Shares”) of common stock at a purchase price of $20.42 per share in a registered direct offering priced at-the-market under the rules of The Nasdaq</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LLC (“Nasdaq”).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January 2025 Shares were offered pursuant to a “shelf” registration statement on Form S-3 (Registration No. 333-280796), which was declared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effective by the Securities and Exchange Commission (the “SEC”) on July 18, 2024 as supplemented by a prospectus supplement dated January 28, 2025, filed with the SEC on January 30, 2025, and accompanying base prospectus, pursuant to Rule 424(b)(5) promulgated under the Securities Act of 1933, as amended (the “Securities Act”).</w:t>
      </w:r>
    </w:p>
    <w:p>
      <w:pPr>
        <w:spacing w:after="0" w:line="13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a concurrent private placement, the Company also issued to the January 2025 Purchasers unregistered warrants (the “January 2025 Warrants”) to purchase up to an aggregate of 102,158 shares of common stock at an exercise price of $15.42 per share. The January 2025 Warrants are exercisable upon issuance and expire twenty-four months from the date of issuance.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Pursuant to the January 2025 Securities Purchase Agreement, we were required to file a registration statement with the SEC within 45 days after the date of the January 2025 Securities Purchase Agreement to register the shares underlying the January 2025 Warrants under the Securities Act. We agreed to use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commercially reasonable efforts to cause such registration statement to become effective within 75 days following the closing date of the January 2025 Offering, and to keep such registration statement effective at all times until no January 2025 Purchaser owns any January 2025 Warrants or shares underlying the January 2025 Warrants issuable upon exercise thereof. Subsequently on February 14, 2025, we filed a registration statement covering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resale of the shares issuable upon exercise of the January 2025 Warrants and the January 2025 Placement Agent Warrants (as defined below) on Form S-1 (File No. 333-284983), which was declared effective by the Securities and Exchange Commission on April 2, 2025.</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Any holder will not have the right to exercise any portion of the January 2025 Warrants if the holder (together with its affiliates) would beneficially own more than 4.99% (or, upon the election of the holder, 9.99%) of the number of shares of the common stock outstanding immediately after giving effect to the exercise, as such percentage ownership is determined in accordance with the terms of the January 2025 Warrants. However, any holder may increase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 such percentage, provided that any increase will not be effective until the 61st day after such election.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exercise price of the January 2025 Warrants is subject to customary adjustment in the event of certain stock dividends and distributions, stock splits,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stock combinations, reclassifications or similar events affecting the common stock and also upon any distributions of assets, including cash, stock or other property to the stockholders of the Company.</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issuance of the January 2025 Warrants pursuant to the January 2025 Securities Purchase Agreement and issuance of the January 2025 Placement Agent Warrants (defined below) were made pursuant to the exemption from the registration requirements under the Securities Act of 1933, as amended, available to the Company under Section 4(a)(2) promulgated thereunder and Rule 506 of Regulation D promulgated under the Securities Act due to the fact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of the January 2025 Warrants and the January 2025 Placement Agent Warrants thereunder did not involve a public offering of securities.</w:t>
      </w:r>
    </w:p>
    <w:p>
      <w:pPr>
        <w:spacing w:after="0" w:line="12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January 2025 Securities Purchase Agreement contained customary representations and warranties. The January 2025 Offering closed on January 30, 2025.</w:t>
      </w:r>
    </w:p>
    <w:p>
      <w:pPr>
        <w:spacing w:after="0" w:line="10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Pursuant to an engagement letter agreement between and H.C. Wainwright &amp; Co., LLC dated August 30, 2024, as amended on September 3, 2024 and January 24, 2025, the Placement Agent acted as the Company’s exclusive placement agent in connection with the offering.</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terms of the Engagement Agreement, the Company paid the Placement Agent a cash transaction fee equal to 7.5% of the aggregate gross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cash proceeds in the offering and a management fee equal to 1.0% of the aggregate gross cash proceeds in the offering. In addition, the Company paid for certain non-accountable expenses in the amount of $15,000 and a clearing fee in the amount of $10,000. The Company also issued to the Placement Agent (or its designees) warrants to purchase up to 3,833 shares of common stock (the “January 2025 Placement Agent Warrants”). The January 2025 Placement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Agent Warrants have an exercise price equal to $ 25.53 per share and are exercisable upon issuance, or January 30, 2025, for twenty-four months from the date of issuance, or January 30, 2027.</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Company received net proceeds of approximately $804,346 from the offering, after deducting estimated offering expenses paid by the Company, including the Placement Agent fees. The Company intends to use the net proceeds from the offering for general corporate purposes, including working capital.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Supply Chain Updates</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February 2025, the FDA authorized the importation of Kodatef from Australia, to cover any future disruption of Arakoda in the U.S. market. Kodatef is the branded version of tafenoquine for malaria prevention approved by the TGA for use in Australia. The Company made this request of the FDA due to robust demand for Arakoda in late 2024/early 2025, and the potential for delays in the completion of new lots of Arakoda currently being commercially</w:t>
      </w:r>
    </w:p>
    <w:p>
      <w:pPr>
        <w:sectPr>
          <w:pgSz w:w="11900" w:h="16838" w:orient="portrait"/>
          <w:cols w:equalWidth="0" w:num="1">
            <w:col w:w="11240"/>
          </w:cols>
          <w:pgMar w:left="320" w:top="108" w:right="339" w:bottom="0" w:gutter="0" w:footer="0" w:header="0"/>
        </w:sectPr>
      </w:pPr>
    </w:p>
    <w:bookmarkStart w:id="5" w:name="page6"/>
    <w:bookmarkEnd w:id="5"/>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validated at the time by our key supplier, PCI. We have recently supplied new commercial lots, and do not anticipate further disruptions in the foreseeable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IRB Approval of Phase II Study to Evaluate Tafenoquine for Chronic Babesiosis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January 8, 2025, we announced that the approval of an Investigational Review Board (IRB) sanctioned Phase II clinical study. The study (NCT06656351) will evaluate the efficacy and safety of the ARAKODA® regimen (tafenoquine) over 90 days for treating patients with a presumptive diagnosis of chronic babesiosis who have experienced severe fatigue with significant functional impairment for at least six months upon enrollment.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patient was enrolled in Q4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First Patient in Tafenoquine Expanded Access Clinical Study for Persistent (B. microti) Babesiosis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January 8, 2025, we announced that the first patient had been enrolled in NCT06478641, an expanded access clinical study intended to confirm the activity of tafenoquine in treating patients with persistent babesiosis who have failed standard of care treatment and are at high risk of experiencing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relapse.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Patent License Agreement</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December 23, 2024, we and Tufts Medical Center announced signing of a Patent License Agreement to jointly advance the development and commercialization of tafenoquine for the treatment and prevention of babesiosis. Tafenoquine is not currently approved by the U.S. Food and Drug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Administration (“FDA”) for the treatment and prevention of babesiosis. The agreement follows initiation of collaboration between researchers from both organizations to study the activity of tafenoquine against babesiosis, a serious tick-borne disease caused by microscopic parasites that infect red blood cells. The study formed the basis of U.S. Provisional Patent Application No. 63/461,060, and related U.S. utility and PCT applications, granting the parties</w:t>
      </w:r>
    </w:p>
    <w:p>
      <w:pPr>
        <w:spacing w:after="0" w:line="2" w:lineRule="exact"/>
        <w:rPr>
          <w:sz w:val="20"/>
          <w:szCs w:val="20"/>
          <w:color w:val="auto"/>
        </w:rPr>
      </w:pPr>
    </w:p>
    <w:p>
      <w:pPr>
        <w:ind w:right="4520"/>
        <w:spacing w:after="0" w:line="426" w:lineRule="auto"/>
        <w:rPr>
          <w:sz w:val="20"/>
          <w:szCs w:val="20"/>
          <w:color w:val="auto"/>
        </w:rPr>
      </w:pPr>
      <w:r>
        <w:rPr>
          <w:rFonts w:ascii="Times New Roman" w:cs="Times New Roman" w:eastAsia="Times New Roman" w:hAnsi="Times New Roman"/>
          <w:sz w:val="17"/>
          <w:szCs w:val="17"/>
          <w:color w:val="auto"/>
        </w:rPr>
        <w:t xml:space="preserve">shared intellectual property rights to tafenoquine’s potential future use for babesiosis. </w:t>
      </w:r>
      <w:r>
        <w:rPr>
          <w:rFonts w:ascii="Times New Roman" w:cs="Times New Roman" w:eastAsia="Times New Roman" w:hAnsi="Times New Roman"/>
          <w:sz w:val="17"/>
          <w:szCs w:val="17"/>
          <w:b w:val="1"/>
          <w:bCs w:val="1"/>
          <w:i w:val="1"/>
          <w:iCs w:val="1"/>
          <w:u w:val="single" w:color="auto"/>
          <w:color w:val="auto"/>
        </w:rPr>
        <w:t>Expansion of Tafenoquine Clinical Trial for Babesiosis to Brigham and Women’s Hospital</w:t>
      </w:r>
    </w:p>
    <w:p>
      <w:pPr>
        <w:spacing w:after="0" w:line="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December 11, 2024, we entered into a clinical trial agreement with Brigham and Women’s Hospital (BWH) in Boston to conduct a double-blind, placebo-controlled study evaluating the safety and efficacy of tafenoquine in combination with standard of care treatment for hospitalized babesiosis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patients. The trial (NCT06207370) evaluates tafenoquine combined with standard treatment for babesiosis, addressing a critical unmet medical need. The double-blind, placebo-controlled trial will examine outcomes for hospitalized patients with severe babesiosis, a tick-borne illness often found as a co-infection of Lyme disease.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ARAKODA® Promotional Pilot in Advance of Expanded U.S. Launch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3, 2024, we announced that we have commenced a nine-month promotional pilot to bring greater awareness of ARAKODA® (tafenoquine)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its benefits to patients and healthcare providers who prescribe it. The pilot program includes inside, or virtual, sales representatives who will conduct outreach to prospective and current ARAKODA customers to promote the co-pay program and increase sales. The status of this program is outlined in the “Strategy” section.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2022 Equity Incentive Plan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July 16, 2024, November 6, 2024, and October 8, 2025, our stockholders approved an amendment to the 60 Degrees Pharmaceuticals, Inc. 2022 Equity Incentive Plan (the “2022 Plan”) to increase the number of shares of Common Stock authorized for issuance by 20,834 shares, 25,000 shares, and 62,500 shares, respectively, which were previously approved by the Board. The total number of shares that remain available for issuance under the 2022 Plan is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115,284 shares effective as of March 30, 2026, which additional reservation of shares provides us with flexibility to address future equity compensation needs. These increases are essential to attract and retain qualified employees, directors and consultants, and to align their interests with those of our stockholders.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September 2024 Private Placement</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On September 4, 2024, we entered into a securities purchase agreement (the “Purchase Agreement”) with a single institutional investor. The Purchase Agreement provided for the sale and issuance by us of an aggregate of: (i) Pre-Funded Warrants to purchase up to 144,928 Shares of our Common Stock,</w:t>
      </w:r>
    </w:p>
    <w:p>
      <w:pPr>
        <w:spacing w:after="0" w:line="2" w:lineRule="exact"/>
        <w:rPr>
          <w:sz w:val="20"/>
          <w:szCs w:val="20"/>
          <w:color w:val="auto"/>
        </w:rPr>
      </w:pPr>
    </w:p>
    <w:p>
      <w:pPr>
        <w:ind w:firstLine="8"/>
        <w:spacing w:after="0" w:line="226"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144,928 shares of Common Stock issuable upon exercise of Series A Warrants, and (iii) 144,928 shares of Common Stock issuable upon exercise of Series B Warrants.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Pre-Funded Warrants are exercisable immediately upon issuance and expire when exercised in full at an exercise price of $0.02 per share. The Series A Warrants and Series B Warrants have an exercise price of $27.60 per share and were exercisable beginning on the effective date of stockholder approval of the issuance of the shares of Common Stock upon exercise of the Common Warrants and the Placement Agent Warrants (discussed below), which was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received November 6, 2024 (the “Stockholder Approval”). The Series A Warrants will expire five years from Stockholder Approval and the Series B Warrants will expire eighteen (18) months from Stockholder Approval.</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H.C. Wainwright &amp; Co., LLC acted as the exclusive placement agent in connection with the Private Placement. In connection with the Private Placement, we issued to Wainwright the Placement Agent Warrants to purchase 10,870 shares of our Common Stock. The Placement Agent Warrants have an exercise price equal to $34.50 per share and are exercisable beginning on the effective date of Stockholder Approval for five years from Stockholder Approval.</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The Registered Securities were subsequently registered pursuant to a registration statement on Form S-3 (File No. 333-282221) that was originally filed with the Securities and Exchange Commission on September 19, 2024, and which was declared effective on September 30, 2024.</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2024 ATM Offering</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July 12, 2024, we entered into an At-the-Market Issuance Sales Agreement (the “ATM Agreement”) with WallachBeth Capital LLC (“WallachBeth”) to sell shares of Common Stock having an aggregate offering price of up to $1,253,603 from time to time, through an “at the market offering” program (the “ATM Offering”). The offer and sale of shares of Common Stock from the ATM Offering were made pursuant to our effective “shelf” registration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statement on Form S-3 and an accompanying base prospectus contained therein (Registration Statement No. 333-280796) which became effective on July 18, 2024. We subsequently amended our prospectus supplement four times to increase the maximum aggregate offering price under the ATM Agreement. From July 19, 2024 to August 2, 2024, we sold a total of 33,897 shares in the ATM Offering for gross proceeds of $1,994,583. We entered into a Waiver</w:t>
      </w:r>
    </w:p>
    <w:p>
      <w:pPr>
        <w:spacing w:after="0" w:line="2" w:lineRule="exact"/>
        <w:rPr>
          <w:sz w:val="20"/>
          <w:szCs w:val="20"/>
          <w:color w:val="auto"/>
        </w:rPr>
      </w:pPr>
    </w:p>
    <w:p>
      <w:pPr>
        <w:ind w:right="1240"/>
        <w:spacing w:after="0" w:line="403" w:lineRule="auto"/>
        <w:rPr>
          <w:sz w:val="20"/>
          <w:szCs w:val="20"/>
          <w:color w:val="auto"/>
        </w:rPr>
      </w:pPr>
      <w:r>
        <w:rPr>
          <w:rFonts w:ascii="Times New Roman" w:cs="Times New Roman" w:eastAsia="Times New Roman" w:hAnsi="Times New Roman"/>
          <w:sz w:val="18"/>
          <w:szCs w:val="18"/>
          <w:color w:val="auto"/>
        </w:rPr>
        <w:t xml:space="preserve">and Termination Agreement with WallachBeth Capital LLC, agreeing to terminate the 2024 ATM Agreement effective September 3, 2025. </w:t>
      </w:r>
      <w:r>
        <w:rPr>
          <w:rFonts w:ascii="Times New Roman" w:cs="Times New Roman" w:eastAsia="Times New Roman" w:hAnsi="Times New Roman"/>
          <w:sz w:val="18"/>
          <w:szCs w:val="18"/>
          <w:b w:val="1"/>
          <w:bCs w:val="1"/>
          <w:u w:val="single" w:color="auto"/>
          <w:color w:val="auto"/>
        </w:rPr>
        <w:t>Mission</w:t>
      </w:r>
    </w:p>
    <w:p>
      <w:pPr>
        <w:jc w:val="both"/>
        <w:spacing w:after="0" w:line="222" w:lineRule="auto"/>
        <w:rPr>
          <w:sz w:val="20"/>
          <w:szCs w:val="20"/>
          <w:color w:val="auto"/>
        </w:rPr>
      </w:pPr>
      <w:r>
        <w:rPr>
          <w:rFonts w:ascii="Times New Roman" w:cs="Times New Roman" w:eastAsia="Times New Roman" w:hAnsi="Times New Roman"/>
          <w:sz w:val="18"/>
          <w:szCs w:val="18"/>
          <w:color w:val="auto"/>
        </w:rPr>
        <w:t>Our mission is to address the unmet medical need associated with vector-borne diseases through the development and commercialization of new small molecule therapeutics, focusing on synthetic drugs (made by chemists in labs, excluding biologics) with good safety profiles based on prior clinical studies,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 order to reduce cost, risk, and capitalize on existing research. We are seeking to expand Arakoda’s use beyond malaria prevention and to demonstrate clinical benefit for other disease indications. We have submitted a 75-day notification to FDA for Australian Chestnut Extract as a new dietary ingredient, and may seek to develop and license other molecules in the future.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Opportunity</w:t>
      </w:r>
    </w:p>
    <w:p>
      <w:pPr>
        <w:sectPr>
          <w:pgSz w:w="11900" w:h="16838" w:orient="portrait"/>
          <w:cols w:equalWidth="0" w:num="1">
            <w:col w:w="11240"/>
          </w:cols>
          <w:pgMar w:left="320" w:top="108" w:right="339" w:bottom="0" w:gutter="0" w:footer="0" w:header="0"/>
        </w:sectPr>
      </w:pPr>
    </w:p>
    <w:bookmarkStart w:id="6" w:name="page7"/>
    <w:bookmarkEnd w:id="6"/>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Malaria Prevention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2018, the FDA approved Arakoda for malaria prevention in individuals 18 years and older. Arakoda entered the U.S. supply chain in the third quarter of 2019, just prior to the COVID-19 pandemic. As the approved indication is for travel medicine, and international travel was substantially impacted by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pandemic, we did not undertake any active marketing efforts for Arakoda. Following our financing in January 2024, the Company hired a Chief Commercial Officer and commissioned IQVIA market data and a qualitative marketing demand study. That research, recently completed, suggests that prescribing for malaria prevention therapies has returned to pre-pandemic levels, and that the total U.S. market represents around 1.1 million prescriptions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(one prescription per three weeks of travel). Based on consumer and HCP demand research, the Company estimates that the accessible market for Arakoda represents about one-third of this volume (about 330,000 prescriptions). Barriers to entry include low brand awareness in the prescriber community and the low cost of some of the generic alternatives. In the second half of 2024, we conducted a pilot commercialization study which suggested a lift in prescribing</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amongst physicians familiar with the product when exposed to promotional materials for Arakoda for malaria prevention. New initiatives are underway in 2026 to further overcome these barriers (see “Strategy”).</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Treatment and Prevention of Tick-Borne Disease (Babesiosis)</w:t>
      </w:r>
    </w:p>
    <w:p>
      <w:pPr>
        <w:spacing w:after="0" w:line="10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are repositioning the Arakoda regimen of Tafenoquine for several potential new therapeutic indications that have substantial U.S. caseloads, as further described below:</w:t>
      </w:r>
    </w:p>
    <w:p>
      <w:pPr>
        <w:spacing w:after="0" w:line="75" w:lineRule="exact"/>
        <w:rPr>
          <w:sz w:val="20"/>
          <w:szCs w:val="20"/>
          <w:color w:val="auto"/>
        </w:rPr>
      </w:pPr>
    </w:p>
    <w:p>
      <w:pPr>
        <w:jc w:val="right"/>
        <w:ind w:left="660" w:firstLine="57"/>
        <w:spacing w:after="0" w:line="227" w:lineRule="auto"/>
        <w:rPr>
          <w:sz w:val="20"/>
          <w:szCs w:val="20"/>
          <w:color w:val="auto"/>
        </w:rPr>
      </w:pPr>
      <w:r>
        <w:rPr>
          <w:rFonts w:ascii="Times New Roman" w:cs="Times New Roman" w:eastAsia="Times New Roman" w:hAnsi="Times New Roman"/>
          <w:sz w:val="18"/>
          <w:szCs w:val="18"/>
          <w:u w:val="single" w:color="auto"/>
          <w:color w:val="auto"/>
        </w:rPr>
        <w:t>Treatment of Chronic Tick-Borne Disease (Babesiosis)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parasites are co-transmitted by the same ticks that transmit </w:t>
      </w:r>
      <w:r>
        <w:rPr>
          <w:rFonts w:ascii="Times New Roman" w:cs="Times New Roman" w:eastAsia="Times New Roman" w:hAnsi="Times New Roman"/>
          <w:sz w:val="18"/>
          <w:szCs w:val="18"/>
          <w:i w:val="1"/>
          <w:iCs w:val="1"/>
          <w:color w:val="auto"/>
        </w:rPr>
        <w:t>Borrelia</w:t>
      </w:r>
      <w:r>
        <w:rPr>
          <w:rFonts w:ascii="Times New Roman" w:cs="Times New Roman" w:eastAsia="Times New Roman" w:hAnsi="Times New Roman"/>
          <w:sz w:val="18"/>
          <w:szCs w:val="18"/>
          <w:color w:val="auto"/>
        </w:rPr>
        <w:t>, the Lyme disease bacterium. Although Lyme in the acute phase is generally viewed by the medical community as being treatable with antibiotics, individuals who are not treated, or fail treatment, may go on to develop long term, and potentially debilitating, chronic symptoms such as fatigue,</w:t>
      </w:r>
    </w:p>
    <w:p>
      <w:pPr>
        <w:ind w:left="660"/>
        <w:spacing w:after="0" w:line="200" w:lineRule="auto"/>
        <w:rPr>
          <w:sz w:val="20"/>
          <w:szCs w:val="20"/>
          <w:color w:val="auto"/>
        </w:rPr>
      </w:pPr>
      <w:r>
        <w:rPr>
          <w:rFonts w:ascii="Times New Roman" w:cs="Times New Roman" w:eastAsia="Times New Roman" w:hAnsi="Times New Roman"/>
          <w:sz w:val="18"/>
          <w:szCs w:val="18"/>
          <w:color w:val="auto"/>
        </w:rPr>
        <w:t>body aches, and cognitive problems.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This condition is defined by the Centers for Disease Control and Prevention (“CDC”) as Post-Treatment</w:t>
      </w:r>
    </w:p>
    <w:p>
      <w:pPr>
        <w:spacing w:after="0" w:line="1" w:lineRule="exact"/>
        <w:rPr>
          <w:sz w:val="20"/>
          <w:szCs w:val="20"/>
          <w:color w:val="auto"/>
        </w:rPr>
      </w:pPr>
    </w:p>
    <w:p>
      <w:pPr>
        <w:jc w:val="both"/>
        <w:ind w:left="660"/>
        <w:spacing w:after="0" w:line="204" w:lineRule="auto"/>
        <w:rPr>
          <w:sz w:val="20"/>
          <w:szCs w:val="20"/>
          <w:color w:val="auto"/>
        </w:rPr>
      </w:pPr>
      <w:r>
        <w:rPr>
          <w:rFonts w:ascii="Times New Roman" w:cs="Times New Roman" w:eastAsia="Times New Roman" w:hAnsi="Times New Roman"/>
          <w:sz w:val="17"/>
          <w:szCs w:val="17"/>
          <w:color w:val="auto"/>
        </w:rPr>
        <w:t>Lyme Disease Syndrome (“PTLDS”) or simply as Lyme in the patient community.</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7"/>
          <w:szCs w:val="17"/>
          <w:color w:val="auto"/>
        </w:rPr>
        <w:t xml:space="preserve"> Although there are no published estimates, key opinion leaders have stated that as many as 50% of Lyme/PTLDS patients are believed to be co-infected with </w:t>
      </w:r>
      <w:r>
        <w:rPr>
          <w:rFonts w:ascii="Times New Roman" w:cs="Times New Roman" w:eastAsia="Times New Roman" w:hAnsi="Times New Roman"/>
          <w:sz w:val="17"/>
          <w:szCs w:val="17"/>
          <w:i w:val="1"/>
          <w:iCs w:val="1"/>
          <w:color w:val="auto"/>
        </w:rPr>
        <w:t>Babesia</w:t>
      </w:r>
      <w:r>
        <w:rPr>
          <w:rFonts w:ascii="Times New Roman" w:cs="Times New Roman" w:eastAsia="Times New Roman" w:hAnsi="Times New Roman"/>
          <w:sz w:val="17"/>
          <w:szCs w:val="17"/>
          <w:color w:val="auto"/>
        </w:rPr>
        <w:t xml:space="preserve"> parasites, a diagnosis referred to in the</w:t>
      </w:r>
    </w:p>
    <w:p>
      <w:pPr>
        <w:spacing w:after="0" w:line="1"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Lyme community as “Chronic Babesiosis.” Prescribers in the Lyme disease community utilize a number of therapeutic modalities to manage the symptoms of Chronic Babesiosis, including FDA-approved pharmaceuticals such as atovaquone and azithromycin (these are assumed to suppress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growth of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parasites).</w:t>
      </w:r>
      <w:r>
        <w:rPr>
          <w:rFonts w:ascii="Times New Roman" w:cs="Times New Roman" w:eastAsia="Times New Roman" w:hAnsi="Times New Roman"/>
          <w:sz w:val="24"/>
          <w:szCs w:val="24"/>
          <w:color w:val="auto"/>
          <w:vertAlign w:val="superscript"/>
        </w:rPr>
        <w:t>2</w:t>
      </w:r>
    </w:p>
    <w:p>
      <w:pPr>
        <w:spacing w:after="0" w:line="42" w:lineRule="exact"/>
        <w:rPr>
          <w:sz w:val="20"/>
          <w:szCs w:val="20"/>
          <w:color w:val="auto"/>
        </w:rPr>
      </w:pPr>
    </w:p>
    <w:p>
      <w:pPr>
        <w:jc w:val="both"/>
        <w:ind w:left="660"/>
        <w:spacing w:after="0" w:line="237" w:lineRule="auto"/>
        <w:rPr>
          <w:sz w:val="20"/>
          <w:szCs w:val="20"/>
          <w:color w:val="auto"/>
        </w:rPr>
      </w:pPr>
      <w:r>
        <w:rPr>
          <w:rFonts w:ascii="Times New Roman" w:cs="Times New Roman" w:eastAsia="Times New Roman" w:hAnsi="Times New Roman"/>
          <w:sz w:val="18"/>
          <w:szCs w:val="18"/>
          <w:color w:val="auto"/>
        </w:rPr>
        <w:t>Recent market data shows that Tafenoquine (primarily as Arakoda) appears to be increasingly prescribed by Lyme physicians to manage Chronic Babesiosis. This trend may follow the recent publication of several case reports demonstrating activity in immunosuppressed patients with acute</w:t>
      </w:r>
    </w:p>
    <w:p>
      <w:pPr>
        <w:spacing w:after="0" w:line="1" w:lineRule="exact"/>
        <w:rPr>
          <w:sz w:val="20"/>
          <w:szCs w:val="20"/>
          <w:color w:val="auto"/>
        </w:rPr>
      </w:pPr>
    </w:p>
    <w:p>
      <w:pPr>
        <w:jc w:val="both"/>
        <w:ind w:left="660"/>
        <w:spacing w:after="0" w:line="205" w:lineRule="auto"/>
        <w:rPr>
          <w:sz w:val="20"/>
          <w:szCs w:val="20"/>
          <w:color w:val="auto"/>
        </w:rPr>
      </w:pPr>
      <w:r>
        <w:rPr>
          <w:rFonts w:ascii="Times New Roman" w:cs="Times New Roman" w:eastAsia="Times New Roman" w:hAnsi="Times New Roman"/>
          <w:sz w:val="18"/>
          <w:szCs w:val="18"/>
          <w:color w:val="auto"/>
        </w:rPr>
        <w:t xml:space="preserve">babesiosis, and animal data showing eradication of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parasites with Tafenoquine.</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The Company believes the recent increases in sales of Arakoda have been driven by organic growth of these activities. There are no formal epidemiological publications articulating the incidence or prevalence of Chronic Babesiosis, so these metrics must be inferred based on data for PTLDS and the rate of coinfection with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parasites. Thus, we previously estimated the cumulative case load of Chronic Babesiosis may be as high as 1.01 million patients in the United States, but</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believe that, based on several new lines of evidence, the ceiling is 2-3 million. </w:t>
      </w:r>
      <w:r>
        <w:rPr>
          <w:rFonts w:ascii="Times New Roman" w:cs="Times New Roman" w:eastAsia="Times New Roman" w:hAnsi="Times New Roman"/>
          <w:sz w:val="24"/>
          <w:szCs w:val="24"/>
          <w:color w:val="auto"/>
          <w:vertAlign w:val="superscript"/>
        </w:rPr>
        <w:t>4</w:t>
      </w:r>
    </w:p>
    <w:p>
      <w:pPr>
        <w:spacing w:after="0" w:line="30"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18"/>
          <w:szCs w:val="18"/>
          <w:color w:val="auto"/>
        </w:rPr>
        <w:t>We have recently completed initial market research involving interviews with 300 prescribing physicians, a survey of 6,000 U.S. adults, and an administrative claims dataset. Collectively this research suggests that the minimum number of persistent cases of babesiosis subject to insurance</w:t>
      </w:r>
    </w:p>
    <w:p>
      <w:pPr>
        <w:jc w:val="both"/>
        <w:ind w:left="660"/>
        <w:spacing w:after="0" w:line="194" w:lineRule="auto"/>
        <w:rPr>
          <w:sz w:val="20"/>
          <w:szCs w:val="20"/>
          <w:color w:val="auto"/>
        </w:rPr>
      </w:pPr>
      <w:r>
        <w:rPr>
          <w:rFonts w:ascii="Times New Roman" w:cs="Times New Roman" w:eastAsia="Times New Roman" w:hAnsi="Times New Roman"/>
          <w:sz w:val="18"/>
          <w:szCs w:val="18"/>
          <w:color w:val="auto"/>
        </w:rPr>
        <w:t>claims each year is approximately 7,900.</w:t>
      </w:r>
      <w:r>
        <w:rPr>
          <w:rFonts w:ascii="Times New Roman" w:cs="Times New Roman" w:eastAsia="Times New Roman" w:hAnsi="Times New Roman"/>
          <w:sz w:val="24"/>
          <w:szCs w:val="24"/>
          <w:color w:val="auto"/>
          <w:vertAlign w:val="superscript"/>
        </w:rPr>
        <w:t>5</w:t>
      </w:r>
      <w:r>
        <w:rPr>
          <w:rFonts w:ascii="Times New Roman" w:cs="Times New Roman" w:eastAsia="Times New Roman" w:hAnsi="Times New Roman"/>
          <w:sz w:val="18"/>
          <w:szCs w:val="18"/>
          <w:color w:val="auto"/>
        </w:rPr>
        <w:t xml:space="preserve"> However, prescribing intent and consumer survey data suggest that following a sustained diseases and product awareness campaign, assuming FDA labeling for babesiosis, and the commercial availability of sensitive molecular tests, the number of</w:t>
      </w:r>
    </w:p>
    <w:p>
      <w:pPr>
        <w:spacing w:after="0" w:line="2" w:lineRule="exact"/>
        <w:rPr>
          <w:sz w:val="20"/>
          <w:szCs w:val="20"/>
          <w:color w:val="auto"/>
        </w:rPr>
      </w:pPr>
    </w:p>
    <w:p>
      <w:pPr>
        <w:jc w:val="both"/>
        <w:ind w:left="660"/>
        <w:spacing w:after="0" w:line="218" w:lineRule="auto"/>
        <w:rPr>
          <w:sz w:val="20"/>
          <w:szCs w:val="20"/>
          <w:color w:val="auto"/>
        </w:rPr>
      </w:pPr>
      <w:r>
        <w:rPr>
          <w:rFonts w:ascii="Times New Roman" w:cs="Times New Roman" w:eastAsia="Times New Roman" w:hAnsi="Times New Roman"/>
          <w:sz w:val="18"/>
          <w:szCs w:val="18"/>
          <w:color w:val="auto"/>
        </w:rPr>
        <w:t>individuals diagnosed with persistent babesiosis with chronic fatigue treatable with Tafenoquine each year could be up to 380,000 individuals, representing approximately $245 million in sales (based on the Arakoda wholesale acquisition cost) and cumulatively 1.71 million patients treated</w:t>
      </w:r>
    </w:p>
    <w:p>
      <w:pPr>
        <w:spacing w:after="0" w:line="1" w:lineRule="exact"/>
        <w:rPr>
          <w:sz w:val="20"/>
          <w:szCs w:val="20"/>
          <w:color w:val="auto"/>
        </w:rPr>
      </w:pPr>
    </w:p>
    <w:p>
      <w:pPr>
        <w:jc w:val="both"/>
        <w:ind w:left="660"/>
        <w:spacing w:after="0" w:line="207" w:lineRule="auto"/>
        <w:rPr>
          <w:sz w:val="20"/>
          <w:szCs w:val="20"/>
          <w:color w:val="auto"/>
        </w:rPr>
      </w:pPr>
      <w:r>
        <w:rPr>
          <w:rFonts w:ascii="Times New Roman" w:cs="Times New Roman" w:eastAsia="Times New Roman" w:hAnsi="Times New Roman"/>
          <w:sz w:val="18"/>
          <w:szCs w:val="18"/>
          <w:color w:val="auto"/>
        </w:rPr>
        <w:t>with $1.1 billion in sales through patent expiry in 2035.</w:t>
      </w:r>
      <w:r>
        <w:rPr>
          <w:rFonts w:ascii="Times New Roman" w:cs="Times New Roman" w:eastAsia="Times New Roman" w:hAnsi="Times New Roman"/>
          <w:sz w:val="24"/>
          <w:szCs w:val="24"/>
          <w:color w:val="auto"/>
          <w:vertAlign w:val="superscript"/>
        </w:rPr>
        <w:t>6,7</w:t>
      </w:r>
      <w:r>
        <w:rPr>
          <w:rFonts w:ascii="Times New Roman" w:cs="Times New Roman" w:eastAsia="Times New Roman" w:hAnsi="Times New Roman"/>
          <w:sz w:val="18"/>
          <w:szCs w:val="18"/>
          <w:color w:val="auto"/>
        </w:rPr>
        <w:t xml:space="preserve"> While this difference between the status quo is and future potential is large, it mirrors the shift in disease burden in Lyme disease which was once believed to be &lt; 30,000, and is now thought to number &gt; 475,000 based on</w:t>
      </w:r>
    </w:p>
    <w:p>
      <w:pPr>
        <w:spacing w:after="0" w:line="2" w:lineRule="exact"/>
        <w:rPr>
          <w:sz w:val="20"/>
          <w:szCs w:val="20"/>
          <w:color w:val="auto"/>
        </w:rPr>
      </w:pPr>
    </w:p>
    <w:p>
      <w:pPr>
        <w:jc w:val="both"/>
        <w:ind w:left="660"/>
        <w:spacing w:after="0" w:line="207" w:lineRule="auto"/>
        <w:rPr>
          <w:sz w:val="20"/>
          <w:szCs w:val="20"/>
          <w:color w:val="auto"/>
        </w:rPr>
      </w:pPr>
      <w:r>
        <w:rPr>
          <w:rFonts w:ascii="Times New Roman" w:cs="Times New Roman" w:eastAsia="Times New Roman" w:hAnsi="Times New Roman"/>
          <w:sz w:val="18"/>
          <w:szCs w:val="18"/>
          <w:color w:val="auto"/>
        </w:rPr>
        <w:t>administrative claims data.</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 xml:space="preserve"> Additional market research and diagnostic screening data will be needed to anchor the upper and lower bounds of this potential opportunity with more precision.</w:t>
      </w:r>
    </w:p>
    <w:p>
      <w:pPr>
        <w:spacing w:after="0" w:line="131" w:lineRule="exact"/>
        <w:rPr>
          <w:sz w:val="20"/>
          <w:szCs w:val="20"/>
          <w:color w:val="auto"/>
        </w:rPr>
      </w:pPr>
    </w:p>
    <w:p>
      <w:pPr>
        <w:jc w:val="right"/>
        <w:ind w:left="660" w:firstLine="57"/>
        <w:spacing w:after="0" w:line="231" w:lineRule="auto"/>
        <w:rPr>
          <w:sz w:val="20"/>
          <w:szCs w:val="20"/>
          <w:color w:val="auto"/>
        </w:rPr>
      </w:pPr>
      <w:r>
        <w:rPr>
          <w:rFonts w:ascii="Times New Roman" w:cs="Times New Roman" w:eastAsia="Times New Roman" w:hAnsi="Times New Roman"/>
          <w:sz w:val="18"/>
          <w:szCs w:val="18"/>
          <w:u w:val="single" w:color="auto"/>
          <w:color w:val="auto"/>
        </w:rPr>
        <w:t>Treatment of Acute Babesiosis</w:t>
      </w:r>
      <w:r>
        <w:rPr>
          <w:rFonts w:ascii="Times New Roman" w:cs="Times New Roman" w:eastAsia="Times New Roman" w:hAnsi="Times New Roman"/>
          <w:sz w:val="18"/>
          <w:szCs w:val="18"/>
          <w:color w:val="auto"/>
        </w:rPr>
        <w:t>. There are up to 119,000 cases of potentially treatable acute symptomatic babesiosis (red blood cell infections caused by deer tick bites) in the United States each year.</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8"/>
          <w:szCs w:val="18"/>
          <w:color w:val="auto"/>
        </w:rPr>
        <w:t xml:space="preserve"> Approximately 650 of these cases are hospitalizations, a smaller fraction of which</w:t>
      </w:r>
    </w:p>
    <w:p>
      <w:pPr>
        <w:ind w:left="660"/>
        <w:spacing w:after="0" w:line="199" w:lineRule="auto"/>
        <w:rPr>
          <w:sz w:val="20"/>
          <w:szCs w:val="20"/>
          <w:color w:val="auto"/>
        </w:rPr>
      </w:pPr>
      <w:r>
        <w:rPr>
          <w:rFonts w:ascii="Times New Roman" w:cs="Times New Roman" w:eastAsia="Times New Roman" w:hAnsi="Times New Roman"/>
          <w:sz w:val="18"/>
          <w:szCs w:val="18"/>
          <w:color w:val="auto"/>
        </w:rPr>
        <w:t>represents immunosuppressed individuals.</w:t>
      </w:r>
      <w:r>
        <w:rPr>
          <w:rFonts w:ascii="Times New Roman" w:cs="Times New Roman" w:eastAsia="Times New Roman" w:hAnsi="Times New Roman"/>
          <w:sz w:val="24"/>
          <w:szCs w:val="24"/>
          <w:color w:val="auto"/>
          <w:vertAlign w:val="superscript"/>
        </w:rPr>
        <w:t>10</w:t>
      </w:r>
      <w:r>
        <w:rPr>
          <w:rFonts w:ascii="Times New Roman" w:cs="Times New Roman" w:eastAsia="Times New Roman" w:hAnsi="Times New Roman"/>
          <w:sz w:val="18"/>
          <w:szCs w:val="18"/>
          <w:color w:val="auto"/>
        </w:rPr>
        <w:t xml:space="preserve"> Symptomatic babesiosis is usually treated with a minimum ten day course of atovaquone and</w:t>
      </w:r>
    </w:p>
    <w:p>
      <w:pPr>
        <w:spacing w:after="0" w:line="1" w:lineRule="exact"/>
        <w:rPr>
          <w:sz w:val="20"/>
          <w:szCs w:val="20"/>
          <w:color w:val="auto"/>
        </w:rPr>
      </w:pPr>
    </w:p>
    <w:p>
      <w:pPr>
        <w:ind w:left="660"/>
        <w:spacing w:after="0" w:line="194" w:lineRule="auto"/>
        <w:rPr>
          <w:sz w:val="20"/>
          <w:szCs w:val="20"/>
          <w:color w:val="auto"/>
        </w:rPr>
      </w:pPr>
      <w:r>
        <w:rPr>
          <w:rFonts w:ascii="Times New Roman" w:cs="Times New Roman" w:eastAsia="Times New Roman" w:hAnsi="Times New Roman"/>
          <w:sz w:val="18"/>
          <w:szCs w:val="18"/>
          <w:color w:val="auto"/>
        </w:rPr>
        <w:t>azithromycin which is extended to six weeks in the immunosuppressed, who may also experience relapses requiring multiple hospitalizations.</w:t>
      </w:r>
      <w:r>
        <w:rPr>
          <w:rFonts w:ascii="Times New Roman" w:cs="Times New Roman" w:eastAsia="Times New Roman" w:hAnsi="Times New Roman"/>
          <w:sz w:val="24"/>
          <w:szCs w:val="24"/>
          <w:color w:val="auto"/>
          <w:vertAlign w:val="superscript"/>
        </w:rPr>
        <w:t>11</w:t>
      </w:r>
      <w:r>
        <w:rPr>
          <w:rFonts w:ascii="Times New Roman" w:cs="Times New Roman" w:eastAsia="Times New Roman" w:hAnsi="Times New Roman"/>
          <w:sz w:val="18"/>
          <w:szCs w:val="18"/>
          <w:color w:val="auto"/>
        </w:rPr>
        <w:t xml:space="preserve"> This is much longer than equivalent serious parasitic diseases such as malaria where the goal is a three-day regimen. In a recently published case</w:t>
      </w:r>
    </w:p>
    <w:p>
      <w:pPr>
        <w:spacing w:after="0" w:line="2" w:lineRule="exact"/>
        <w:rPr>
          <w:sz w:val="20"/>
          <w:szCs w:val="20"/>
          <w:color w:val="auto"/>
        </w:rPr>
      </w:pPr>
    </w:p>
    <w:p>
      <w:pPr>
        <w:ind w:left="660"/>
        <w:spacing w:after="0" w:line="259" w:lineRule="auto"/>
        <w:rPr>
          <w:sz w:val="20"/>
          <w:szCs w:val="20"/>
          <w:color w:val="auto"/>
        </w:rPr>
      </w:pPr>
      <w:r>
        <w:rPr>
          <w:rFonts w:ascii="Times New Roman" w:cs="Times New Roman" w:eastAsia="Times New Roman" w:hAnsi="Times New Roman"/>
          <w:sz w:val="18"/>
          <w:szCs w:val="18"/>
          <w:color w:val="auto"/>
        </w:rPr>
        <w:t xml:space="preserve">series Tafenoquine in combination with standard of care cured 80% of immunosuppressed patients with relapsing babesiosis and the investigators stated in a press release that “Tafenoquine is going to make a huge difference, I think, in people who are severely immunocompromised.” </w:t>
      </w:r>
      <w:r>
        <w:rPr>
          <w:rFonts w:ascii="Times New Roman" w:cs="Times New Roman" w:eastAsia="Times New Roman" w:hAnsi="Times New Roman"/>
          <w:sz w:val="24"/>
          <w:szCs w:val="24"/>
          <w:color w:val="auto"/>
          <w:vertAlign w:val="superscript"/>
        </w:rPr>
        <w:t>12</w:t>
      </w:r>
    </w:p>
    <w:p>
      <w:pPr>
        <w:spacing w:after="0" w:line="66"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https://www.cdc.gov/lyme/signs-symptoms/chronic-symptoms-and-lyme-disease.html.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ind w:left="340" w:hanging="332"/>
        <w:spacing w:after="0"/>
        <w:tabs>
          <w:tab w:leader="none" w:pos="34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Conclusions from Company-commissioned market research.</w:t>
      </w:r>
    </w:p>
    <w:p>
      <w:pPr>
        <w:ind w:left="340" w:hanging="332"/>
        <w:spacing w:after="0" w:line="234" w:lineRule="auto"/>
        <w:tabs>
          <w:tab w:leader="none" w:pos="3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Conclusions from Company-commissioned market research.</w:t>
      </w:r>
    </w:p>
    <w:p>
      <w:pPr>
        <w:spacing w:after="0" w:line="1" w:lineRule="exact"/>
        <w:rPr>
          <w:sz w:val="20"/>
          <w:szCs w:val="20"/>
          <w:color w:val="auto"/>
        </w:rPr>
      </w:pPr>
    </w:p>
    <w:p>
      <w:pPr>
        <w:jc w:val="both"/>
        <w:ind w:left="340" w:hanging="332"/>
        <w:spacing w:after="0" w:line="210" w:lineRule="auto"/>
        <w:tabs>
          <w:tab w:leader="none" w:pos="3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Previously, we had estimated the maximum prevalence of chronic babesiosis to be 1.01 million by multiplying the rate of Babesia coinfection in PTLDS patients (52%, from Parveen &amp; Bhanot, Pathogens 2019;8(3):117) by the highest estimate of the cumulative prevalence of PTLDS (1,994,189, from Delong et al. BMC Public Health 2019;19(1):352). However, since it was recently determined that only 41% of hospitalized babesiosis patients have Lyme as a coinfection (Ssentongo et al Open Forum Infect Dis 2024 Oct 8;11(10)) total prevalence might be as high as 2.46 million (divide 1.01 million by 41%). Our recent survey of 6,000 U.S. consumers suggested that 3 million U.S. adults have experience babesiosis based on 1.26% of responders reporting have received such a medical diagnosis from a healthcare provider. Based on molecular epidemiology studies we have sponsored, we have made the operational assumption that up to 20% of individuals with chronic fatigue lasting more than six months may be infected with</w:t>
      </w:r>
    </w:p>
    <w:p>
      <w:pPr>
        <w:spacing w:after="0" w:line="1" w:lineRule="exact"/>
        <w:rPr>
          <w:sz w:val="20"/>
          <w:szCs w:val="20"/>
          <w:color w:val="auto"/>
        </w:rPr>
      </w:pPr>
    </w:p>
    <w:p>
      <w:pPr>
        <w:ind w:left="340"/>
        <w:spacing w:after="0" w:line="203" w:lineRule="auto"/>
        <w:rPr>
          <w:sz w:val="20"/>
          <w:szCs w:val="20"/>
          <w:color w:val="auto"/>
        </w:rPr>
      </w:pPr>
      <w:r>
        <w:rPr>
          <w:rFonts w:ascii="Times New Roman" w:cs="Times New Roman" w:eastAsia="Times New Roman" w:hAnsi="Times New Roman"/>
          <w:sz w:val="18"/>
          <w:szCs w:val="18"/>
          <w:color w:val="auto"/>
        </w:rPr>
        <w:t>Babesia parasites, and our recent consumer survey and claims studies indicated that the prevalence of chronic fatigue in the U.S. is approximately 10 million (thus there maybe 2 million individuals with persistent babesiosis).</w:t>
      </w:r>
    </w:p>
    <w:p>
      <w:pPr>
        <w:ind w:left="340" w:hanging="332"/>
        <w:spacing w:after="0" w:line="220" w:lineRule="auto"/>
        <w:tabs>
          <w:tab w:leader="none" w:pos="3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Company-commissioned market research indicates there are medical insurance claims data representing approximately 40% of U.S. lives indicated a</w:t>
      </w:r>
    </w:p>
    <w:p>
      <w:pPr>
        <w:ind w:left="340"/>
        <w:spacing w:after="0" w:line="203" w:lineRule="auto"/>
        <w:rPr>
          <w:sz w:val="20"/>
          <w:szCs w:val="20"/>
          <w:color w:val="auto"/>
        </w:rPr>
      </w:pPr>
      <w:r>
        <w:rPr>
          <w:rFonts w:ascii="Times New Roman" w:cs="Times New Roman" w:eastAsia="Times New Roman" w:hAnsi="Times New Roman"/>
          <w:sz w:val="18"/>
          <w:szCs w:val="18"/>
          <w:color w:val="auto"/>
        </w:rPr>
        <w:t>total of 9,520 cases of chronic babesiosis of at least 30 days duration over three years. Annual incidence is 9,520/3/40% = 7,933.</w:t>
      </w:r>
    </w:p>
    <w:p>
      <w:pPr>
        <w:spacing w:after="0" w:line="1" w:lineRule="exact"/>
        <w:rPr>
          <w:sz w:val="20"/>
          <w:szCs w:val="20"/>
          <w:color w:val="auto"/>
        </w:rPr>
      </w:pPr>
    </w:p>
    <w:p>
      <w:pPr>
        <w:jc w:val="both"/>
        <w:ind w:left="340" w:hanging="332"/>
        <w:spacing w:after="0" w:line="211" w:lineRule="auto"/>
        <w:tabs>
          <w:tab w:leader="none" w:pos="3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Represents the maximum potential incidence of tafenoquine-treated persistent babesiosis cases ten years after commencing a full product and disease awareness program, based on combined data from a 6,000-patient and a 300-prescriber survey conducted by an independent market research agency</w:t>
      </w:r>
    </w:p>
    <w:p>
      <w:pPr>
        <w:ind w:left="340"/>
        <w:spacing w:after="0" w:line="204" w:lineRule="auto"/>
        <w:rPr>
          <w:sz w:val="20"/>
          <w:szCs w:val="20"/>
          <w:color w:val="auto"/>
        </w:rPr>
      </w:pPr>
      <w:r>
        <w:rPr>
          <w:rFonts w:ascii="Times New Roman" w:cs="Times New Roman" w:eastAsia="Times New Roman" w:hAnsi="Times New Roman"/>
          <w:sz w:val="18"/>
          <w:szCs w:val="18"/>
          <w:color w:val="auto"/>
        </w:rPr>
        <w:t>assuming regulatory labeling for Arakoda has been expanded to include babesiosis.</w:t>
      </w:r>
    </w:p>
    <w:p>
      <w:pPr>
        <w:ind w:left="340" w:hanging="332"/>
        <w:spacing w:after="0" w:line="219" w:lineRule="auto"/>
        <w:tabs>
          <w:tab w:leader="none" w:pos="3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Same as Note 6, but inclusive of the effect of sensitive molecular tests like the Grifols or Roche blood donation screening tests becoming</w:t>
      </w:r>
    </w:p>
    <w:p>
      <w:pPr>
        <w:ind w:left="340"/>
        <w:spacing w:after="0" w:line="203" w:lineRule="auto"/>
        <w:rPr>
          <w:sz w:val="20"/>
          <w:szCs w:val="20"/>
          <w:color w:val="auto"/>
        </w:rPr>
      </w:pPr>
      <w:r>
        <w:rPr>
          <w:rFonts w:ascii="Times New Roman" w:cs="Times New Roman" w:eastAsia="Times New Roman" w:hAnsi="Times New Roman"/>
          <w:sz w:val="18"/>
          <w:szCs w:val="18"/>
          <w:color w:val="auto"/>
        </w:rPr>
        <w:t>commercially available for patient care.</w:t>
      </w:r>
    </w:p>
    <w:p>
      <w:pPr>
        <w:ind w:left="340" w:hanging="332"/>
        <w:spacing w:after="0" w:line="219" w:lineRule="auto"/>
        <w:tabs>
          <w:tab w:leader="none" w:pos="3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For example, official Lyme cases were zero before the first case description in 1975, in 2010 the official Lyme case count was 30,158, but CDC now</w:t>
      </w:r>
    </w:p>
    <w:p>
      <w:pPr>
        <w:ind w:left="340"/>
        <w:spacing w:after="0" w:line="204" w:lineRule="auto"/>
        <w:rPr>
          <w:sz w:val="20"/>
          <w:szCs w:val="20"/>
          <w:color w:val="auto"/>
        </w:rPr>
      </w:pPr>
      <w:r>
        <w:rPr>
          <w:rFonts w:ascii="Times New Roman" w:cs="Times New Roman" w:eastAsia="Times New Roman" w:hAnsi="Times New Roman"/>
          <w:sz w:val="18"/>
          <w:szCs w:val="18"/>
          <w:color w:val="auto"/>
        </w:rPr>
        <w:t>reports 476,000 cases per year based on insurance claims according to the Centers for Disease Control and Prevention.</w:t>
      </w:r>
    </w:p>
    <w:p>
      <w:pPr>
        <w:jc w:val="both"/>
        <w:ind w:left="340" w:hanging="332"/>
        <w:spacing w:after="0" w:line="21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This estimate is based on the observations of Krugeler et al (</w:t>
      </w:r>
      <w:r>
        <w:rPr>
          <w:rFonts w:ascii="Times New Roman" w:cs="Times New Roman" w:eastAsia="Times New Roman" w:hAnsi="Times New Roman"/>
          <w:sz w:val="18"/>
          <w:szCs w:val="18"/>
          <w:i w:val="1"/>
          <w:iCs w:val="1"/>
          <w:color w:val="auto"/>
        </w:rPr>
        <w:t>Emerg Infect Dis</w:t>
      </w:r>
      <w:r>
        <w:rPr>
          <w:rFonts w:ascii="Times New Roman" w:cs="Times New Roman" w:eastAsia="Times New Roman" w:hAnsi="Times New Roman"/>
          <w:sz w:val="18"/>
          <w:szCs w:val="18"/>
          <w:color w:val="auto"/>
        </w:rPr>
        <w:t xml:space="preserve"> 2021;27:616-61) who reported that 476,000 cases of Lyme disease occur in U.S. states where babesiosis is endemic and Krause et. al. (JAMA 1996;275:1657-16602) who reported that 10% of Lyme disease patients are co-</w:t>
      </w:r>
    </w:p>
    <w:p>
      <w:pPr>
        <w:spacing w:after="0" w:line="1" w:lineRule="exact"/>
        <w:rPr>
          <w:sz w:val="20"/>
          <w:szCs w:val="20"/>
          <w:color w:val="auto"/>
        </w:rPr>
      </w:pPr>
    </w:p>
    <w:p>
      <w:pPr>
        <w:ind w:left="340"/>
        <w:spacing w:after="0" w:line="203" w:lineRule="auto"/>
        <w:rPr>
          <w:sz w:val="20"/>
          <w:szCs w:val="20"/>
          <w:color w:val="auto"/>
        </w:rPr>
      </w:pPr>
      <w:r>
        <w:rPr>
          <w:rFonts w:ascii="Times New Roman" w:cs="Times New Roman" w:eastAsia="Times New Roman" w:hAnsi="Times New Roman"/>
          <w:sz w:val="18"/>
          <w:szCs w:val="18"/>
          <w:color w:val="auto"/>
        </w:rPr>
        <w:t>infected with babesiosis and that according to Ssentongo et al (</w:t>
      </w:r>
      <w:r>
        <w:rPr>
          <w:rFonts w:ascii="Times New Roman" w:cs="Times New Roman" w:eastAsia="Times New Roman" w:hAnsi="Times New Roman"/>
          <w:sz w:val="18"/>
          <w:szCs w:val="18"/>
          <w:i w:val="1"/>
          <w:iCs w:val="1"/>
          <w:color w:val="auto"/>
        </w:rPr>
        <w:t>Open Forum Infect Dis</w:t>
      </w:r>
      <w:r>
        <w:rPr>
          <w:rFonts w:ascii="Times New Roman" w:cs="Times New Roman" w:eastAsia="Times New Roman" w:hAnsi="Times New Roman"/>
          <w:sz w:val="18"/>
          <w:szCs w:val="18"/>
          <w:color w:val="auto"/>
        </w:rPr>
        <w:t xml:space="preserve"> 2024 Oct 8;11(10):ofae504.doi:10.1093), approximately 40% of acute babesiosis patients are coinfected with Lyme disease (thus 476,000*10%/40% = 119,000 cases of babesiosis per year).</w:t>
      </w:r>
    </w:p>
    <w:p>
      <w:pPr>
        <w:ind w:left="340" w:hanging="332"/>
        <w:spacing w:after="0" w:line="235" w:lineRule="auto"/>
        <w:tabs>
          <w:tab w:leader="none" w:pos="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xml:space="preserve">Bloch et al </w:t>
      </w:r>
      <w:r>
        <w:rPr>
          <w:rFonts w:ascii="Times New Roman" w:cs="Times New Roman" w:eastAsia="Times New Roman" w:hAnsi="Times New Roman"/>
          <w:sz w:val="18"/>
          <w:szCs w:val="18"/>
          <w:i w:val="1"/>
          <w:iCs w:val="1"/>
          <w:color w:val="auto"/>
        </w:rPr>
        <w:t>Open Forum Infect Dis</w:t>
      </w:r>
      <w:r>
        <w:rPr>
          <w:rFonts w:ascii="Times New Roman" w:cs="Times New Roman" w:eastAsia="Times New Roman" w:hAnsi="Times New Roman"/>
          <w:sz w:val="18"/>
          <w:szCs w:val="18"/>
          <w:color w:val="auto"/>
        </w:rPr>
        <w:t xml:space="preserve"> 2022;9(11):ofac597.</w:t>
      </w:r>
    </w:p>
    <w:p>
      <w:pPr>
        <w:ind w:left="340" w:hanging="332"/>
        <w:spacing w:after="0" w:line="234" w:lineRule="auto"/>
        <w:tabs>
          <w:tab w:leader="none" w:pos="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According to IDSA guidelines.</w:t>
      </w:r>
    </w:p>
    <w:p>
      <w:pPr>
        <w:ind w:left="340" w:hanging="332"/>
        <w:spacing w:after="0" w:line="233" w:lineRule="auto"/>
        <w:tabs>
          <w:tab w:leader="none" w:pos="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xml:space="preserve">See Krause et al </w:t>
      </w:r>
      <w:r>
        <w:rPr>
          <w:rFonts w:ascii="Times New Roman" w:cs="Times New Roman" w:eastAsia="Times New Roman" w:hAnsi="Times New Roman"/>
          <w:sz w:val="18"/>
          <w:szCs w:val="18"/>
          <w:i w:val="1"/>
          <w:iCs w:val="1"/>
          <w:color w:val="auto"/>
        </w:rPr>
        <w:t>Clin Infect Dis</w:t>
      </w:r>
      <w:r>
        <w:rPr>
          <w:rFonts w:ascii="Times New Roman" w:cs="Times New Roman" w:eastAsia="Times New Roman" w:hAnsi="Times New Roman"/>
          <w:sz w:val="18"/>
          <w:szCs w:val="18"/>
          <w:color w:val="auto"/>
        </w:rPr>
        <w:t xml:space="preserve"> 2024; doi:10.1093/cid/ciae238 and https://ysph.yale.edu/news-article/antimalarial-drug-is-effective-against-tick-borne-infection-babesiosis/.</w:t>
      </w:r>
    </w:p>
    <w:p>
      <w:pPr>
        <w:sectPr>
          <w:pgSz w:w="11900" w:h="16876" w:orient="portrait"/>
          <w:cols w:equalWidth="0" w:num="1">
            <w:col w:w="11240"/>
          </w:cols>
          <w:pgMar w:left="320" w:top="279" w:right="339"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left="660" w:firstLine="57"/>
        <w:spacing w:after="0" w:line="220" w:lineRule="auto"/>
        <w:rPr>
          <w:sz w:val="20"/>
          <w:szCs w:val="20"/>
          <w:color w:val="auto"/>
        </w:rPr>
      </w:pPr>
      <w:r>
        <w:rPr>
          <w:rFonts w:ascii="Times New Roman" w:cs="Times New Roman" w:eastAsia="Times New Roman" w:hAnsi="Times New Roman"/>
          <w:sz w:val="18"/>
          <w:szCs w:val="18"/>
          <w:u w:val="single" w:color="auto"/>
          <w:color w:val="auto"/>
        </w:rPr>
        <w:t>Prevention of Tick-Borne Diseases</w:t>
      </w:r>
      <w:r>
        <w:rPr>
          <w:rFonts w:ascii="Times New Roman" w:cs="Times New Roman" w:eastAsia="Times New Roman" w:hAnsi="Times New Roman"/>
          <w:sz w:val="18"/>
          <w:szCs w:val="18"/>
          <w:color w:val="auto"/>
        </w:rPr>
        <w:t>. Post-exposure prophylaxis or early treatment with, respectively, a single dose or several week regimen of doxycycline following a tick-bite is a recognized indication to prevent the complications of Lyme disease. There may be more than 400,000 such tick bites in the United States requiring medical treatment each year. This estimate is based on the observation that approximately 50,000 tick bites are treated in U.S. hospital emergency rooms each year; however, this calculation represents only about 12% of actual treated tick bites based on</w:t>
      </w:r>
    </w:p>
    <w:p>
      <w:pPr>
        <w:spacing w:after="0" w:line="3" w:lineRule="exact"/>
        <w:rPr>
          <w:sz w:val="20"/>
          <w:szCs w:val="20"/>
          <w:color w:val="auto"/>
        </w:rPr>
      </w:pPr>
    </w:p>
    <w:p>
      <w:pPr>
        <w:ind w:left="660"/>
        <w:spacing w:after="0" w:line="204" w:lineRule="auto"/>
        <w:rPr>
          <w:sz w:val="20"/>
          <w:szCs w:val="20"/>
          <w:color w:val="auto"/>
        </w:rPr>
      </w:pPr>
      <w:r>
        <w:rPr>
          <w:rFonts w:ascii="Times New Roman" w:cs="Times New Roman" w:eastAsia="Times New Roman" w:hAnsi="Times New Roman"/>
          <w:sz w:val="17"/>
          <w:szCs w:val="17"/>
          <w:color w:val="auto"/>
        </w:rPr>
        <w:t>observations from comparable ex-U.S. health systems.</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7"/>
          <w:szCs w:val="17"/>
          <w:color w:val="auto"/>
        </w:rPr>
        <w:t xml:space="preserve"> Unlike Lyme disease, there is no characteristic rash associated with early infection and no reliable diagnostic tests. Thus, an individual bitten by a tick cannot know whether they have also been infected with babesiosis. It is likely that 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drug proven to be effective for this indication for babesiosis would also be used in conjunction with Lyme prophylaxis.</w:t>
      </w:r>
    </w:p>
    <w:p>
      <w:pPr>
        <w:spacing w:after="0" w:line="124" w:lineRule="exact"/>
        <w:rPr>
          <w:sz w:val="20"/>
          <w:szCs w:val="20"/>
          <w:color w:val="auto"/>
        </w:rPr>
      </w:pPr>
    </w:p>
    <w:p>
      <w:pPr>
        <w:ind w:left="660" w:firstLine="57"/>
        <w:spacing w:after="0" w:line="217" w:lineRule="auto"/>
        <w:rPr>
          <w:sz w:val="20"/>
          <w:szCs w:val="20"/>
          <w:color w:val="auto"/>
        </w:rPr>
      </w:pPr>
      <w:r>
        <w:rPr>
          <w:rFonts w:ascii="Times New Roman" w:cs="Times New Roman" w:eastAsia="Times New Roman" w:hAnsi="Times New Roman"/>
          <w:sz w:val="18"/>
          <w:szCs w:val="18"/>
          <w:u w:val="single" w:color="auto"/>
          <w:color w:val="auto"/>
        </w:rPr>
        <w:t>Veterinary Indications</w:t>
      </w:r>
      <w:r>
        <w:rPr>
          <w:rFonts w:ascii="Times New Roman" w:cs="Times New Roman" w:eastAsia="Times New Roman" w:hAnsi="Times New Roman"/>
          <w:sz w:val="18"/>
          <w:szCs w:val="18"/>
          <w:color w:val="auto"/>
        </w:rPr>
        <w:t>. Based on estimates from industry experts, there may be somewhere between several hundred and several thousand cases of canine babesiosis each year in the United States, and thousands more globally. Currently, standard of care treatment for babesiosis in dogs is a ten-day course of atovaquone and azithromycin, which costs about $1,350 out of pocket. A treatment course of Tafenoquine mirroring the human prophylactic dose in dogs might cost &lt; $300, offering a compelling alternative to standard of care. The additional resources required to generate enabling data for veterinary uses are much less expensive than human clinical trials, and we are already funding a pilot study at North Carolina State University related to this indication. Separately, the Company is exploring the potential utility of Tafenoquine to manage equine Theileria (a tick-borne disease related to babesiosis). Horses entering the United States are required to be tested prior to quarantine release and treated if positive.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Viral Diseases</w:t>
      </w:r>
    </w:p>
    <w:p>
      <w:pPr>
        <w:spacing w:after="0" w:line="16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Celgosivir, a potential clinical candidate of 60P’s, has activity in a number of animal models of important viral diseases such as Dengue and RSV. According to the European CDC, Dengue is associated with at least 4.1 million cases globally.</w:t>
      </w:r>
      <w:r>
        <w:rPr>
          <w:rFonts w:ascii="Times New Roman" w:cs="Times New Roman" w:eastAsia="Times New Roman" w:hAnsi="Times New Roman"/>
          <w:sz w:val="24"/>
          <w:szCs w:val="24"/>
          <w:color w:val="auto"/>
          <w:vertAlign w:val="superscript"/>
        </w:rPr>
        <w:t>14</w:t>
      </w:r>
      <w:r>
        <w:rPr>
          <w:rFonts w:ascii="Times New Roman" w:cs="Times New Roman" w:eastAsia="Times New Roman" w:hAnsi="Times New Roman"/>
          <w:sz w:val="18"/>
          <w:szCs w:val="18"/>
          <w:color w:val="auto"/>
        </w:rPr>
        <w:t xml:space="preserve"> And, according to the U.S. CDC, RSV is responsible for</w:t>
      </w:r>
    </w:p>
    <w:p>
      <w:pPr>
        <w:jc w:val="both"/>
        <w:spacing w:after="0" w:line="206" w:lineRule="auto"/>
        <w:rPr>
          <w:sz w:val="20"/>
          <w:szCs w:val="20"/>
          <w:color w:val="auto"/>
        </w:rPr>
      </w:pPr>
      <w:r>
        <w:rPr>
          <w:rFonts w:ascii="Times New Roman" w:cs="Times New Roman" w:eastAsia="Times New Roman" w:hAnsi="Times New Roman"/>
          <w:sz w:val="18"/>
          <w:szCs w:val="18"/>
          <w:color w:val="auto"/>
        </w:rPr>
        <w:t>up to 240,000 hospitalizations in children less than five years of age and adults greater than 65 years of age in the United States each year.</w:t>
      </w:r>
      <w:r>
        <w:rPr>
          <w:rFonts w:ascii="Times New Roman" w:cs="Times New Roman" w:eastAsia="Times New Roman" w:hAnsi="Times New Roman"/>
          <w:sz w:val="24"/>
          <w:szCs w:val="24"/>
          <w:color w:val="auto"/>
          <w:vertAlign w:val="superscript"/>
        </w:rPr>
        <w:t>15</w:t>
      </w:r>
      <w:r>
        <w:rPr>
          <w:rFonts w:ascii="Times New Roman" w:cs="Times New Roman" w:eastAsia="Times New Roman" w:hAnsi="Times New Roman"/>
          <w:sz w:val="18"/>
          <w:szCs w:val="18"/>
          <w:color w:val="auto"/>
        </w:rPr>
        <w:t xml:space="preserve"> As outlined in the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section below, we plan to make any development decisions regarding Celgosivir after the potential commercialization opportunity for Australian Chestnut Extract comes into view.</w:t>
      </w:r>
    </w:p>
    <w:p>
      <w:pPr>
        <w:spacing w:after="0" w:line="171"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Marx et. al., MMWR 2021;70:612-616.</w:t>
      </w:r>
    </w:p>
    <w:p>
      <w:pPr>
        <w:spacing w:after="0" w:line="15" w:lineRule="exact"/>
        <w:rPr>
          <w:rFonts w:ascii="Times New Roman" w:cs="Times New Roman" w:eastAsia="Times New Roman" w:hAnsi="Times New Roman"/>
          <w:sz w:val="12"/>
          <w:szCs w:val="12"/>
          <w:color w:val="auto"/>
        </w:rPr>
      </w:pPr>
    </w:p>
    <w:p>
      <w:pPr>
        <w:ind w:left="340" w:hanging="332"/>
        <w:spacing w:after="0" w:line="234" w:lineRule="auto"/>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According to the European Center for Disease Control.</w:t>
      </w:r>
    </w:p>
    <w:p>
      <w:pPr>
        <w:ind w:left="340" w:hanging="332"/>
        <w:spacing w:after="0"/>
        <w:tabs>
          <w:tab w:leader="none" w:pos="3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According to the U.S. Centers for Disease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21431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More information about our products is provided in the next section, and the status of various development efforts for the above-mentioned diseases is outlined in Figure A,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Figure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111760</wp:posOffset>
            </wp:positionV>
            <wp:extent cx="6172200" cy="31286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Arakoda (Tafenoquine) for malaria prevention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entered into a cooperative research and development agreement with the United States Army in 2014 to complete development of Arakoda for</w:t>
      </w:r>
    </w:p>
    <w:p>
      <w:pPr>
        <w:spacing w:after="0" w:line="15" w:lineRule="exact"/>
        <w:rPr>
          <w:sz w:val="20"/>
          <w:szCs w:val="20"/>
          <w:color w:val="auto"/>
        </w:rPr>
      </w:pPr>
    </w:p>
    <w:p>
      <w:pPr>
        <w:spacing w:after="0" w:line="194" w:lineRule="auto"/>
        <w:rPr>
          <w:sz w:val="20"/>
          <w:szCs w:val="20"/>
          <w:color w:val="auto"/>
        </w:rPr>
      </w:pPr>
      <w:r>
        <w:rPr>
          <w:rFonts w:ascii="Times New Roman" w:cs="Times New Roman" w:eastAsia="Times New Roman" w:hAnsi="Times New Roman"/>
          <w:sz w:val="18"/>
          <w:szCs w:val="18"/>
          <w:color w:val="auto"/>
        </w:rPr>
        <w:t>prevention of malaria.</w:t>
      </w:r>
      <w:r>
        <w:rPr>
          <w:rFonts w:ascii="Times New Roman" w:cs="Times New Roman" w:eastAsia="Times New Roman" w:hAnsi="Times New Roman"/>
          <w:sz w:val="24"/>
          <w:szCs w:val="24"/>
          <w:color w:val="auto"/>
          <w:vertAlign w:val="superscript"/>
        </w:rPr>
        <w:t>16</w:t>
      </w:r>
      <w:r>
        <w:rPr>
          <w:rFonts w:ascii="Times New Roman" w:cs="Times New Roman" w:eastAsia="Times New Roman" w:hAnsi="Times New Roman"/>
          <w:sz w:val="18"/>
          <w:szCs w:val="18"/>
          <w:color w:val="auto"/>
        </w:rPr>
        <w:t xml:space="preserve"> With the U.S. Army, and other private sector entities as partners, we coordinated the execution of two clinical trials, development of a full manufacturing package, gap-filling non-clinical studies, compilation of a full regulatory dossier, successful defense of our program at an FDA</w:t>
      </w:r>
    </w:p>
    <w:p>
      <w:pPr>
        <w:spacing w:after="0" w:line="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advisory committee meeting and submitted a new drug application (“NDA”) to the FDA in 2018. The history of that collaboration has been publicly communicated by the U.S. Army.</w:t>
      </w:r>
      <w:r>
        <w:rPr>
          <w:rFonts w:ascii="Times New Roman" w:cs="Times New Roman" w:eastAsia="Times New Roman" w:hAnsi="Times New Roman"/>
          <w:sz w:val="24"/>
          <w:szCs w:val="24"/>
          <w:color w:val="auto"/>
          <w:vertAlign w:val="superscript"/>
        </w:rPr>
        <w:t>17</w:t>
      </w:r>
    </w:p>
    <w:p>
      <w:pPr>
        <w:spacing w:after="0" w:line="93" w:lineRule="exact"/>
        <w:rPr>
          <w:sz w:val="20"/>
          <w:szCs w:val="20"/>
          <w:color w:val="auto"/>
        </w:rPr>
      </w:pPr>
    </w:p>
    <w:p>
      <w:pPr>
        <w:jc w:val="both"/>
        <w:ind w:left="340" w:hanging="332"/>
        <w:spacing w:after="0" w:line="216" w:lineRule="auto"/>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In 2014, we signed a cooperative research and development agreement with the United States Army Medical and Materiel Development Activity (Agreement W81XWH-14-0313). Under this agreement, we agreed to submit an NDA for Tafenoquine to the FDA (as Arakoda), while the US Army agreed to finance the bulk of the necessary development activities in support of that goal.</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Zottig et al Military Medicine 2020; 185 (S1): 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-483235</wp:posOffset>
            </wp:positionV>
            <wp:extent cx="21431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283" w:right="339" w:bottom="137" w:gutter="0" w:footer="0" w:header="0"/>
        </w:sectPr>
      </w:pPr>
    </w:p>
    <w:bookmarkStart w:id="8" w:name="page9"/>
    <w:bookmarkEnd w:id="8"/>
    <w:p>
      <w:pPr>
        <w:jc w:val="both"/>
        <w:spacing w:after="0" w:line="223" w:lineRule="auto"/>
        <w:rPr>
          <w:sz w:val="20"/>
          <w:szCs w:val="20"/>
          <w:color w:val="auto"/>
        </w:rPr>
      </w:pPr>
      <w:r>
        <w:rPr>
          <w:rFonts w:ascii="Times New Roman" w:cs="Times New Roman" w:eastAsia="Times New Roman" w:hAnsi="Times New Roman"/>
          <w:sz w:val="18"/>
          <w:szCs w:val="18"/>
          <w:color w:val="auto"/>
        </w:rPr>
        <w:t>The FDA and Australia’s medicinal regulatory agency, the Therapeutic Goods Administration, subsequently approved Arakoda (brand name in the U.S.) and Kodatef (brand name in Australia), respectively, for prevention of malaria in travelers in 2018. Prescribing information and guidance for patients can</w:t>
      </w: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be found at </w:t>
      </w:r>
      <w:r>
        <w:rPr>
          <w:rFonts w:ascii="Times New Roman" w:cs="Times New Roman" w:eastAsia="Times New Roman" w:hAnsi="Times New Roman"/>
          <w:sz w:val="18"/>
          <w:szCs w:val="18"/>
          <w:i w:val="1"/>
          <w:iCs w:val="1"/>
          <w:color w:val="auto"/>
        </w:rPr>
        <w:t>www.arakoda.com</w:t>
      </w:r>
      <w:r>
        <w:rPr>
          <w:rFonts w:ascii="Times New Roman" w:cs="Times New Roman" w:eastAsia="Times New Roman" w:hAnsi="Times New Roman"/>
          <w:sz w:val="18"/>
          <w:szCs w:val="18"/>
          <w:color w:val="auto"/>
        </w:rPr>
        <w:t>. The features and benefits of Tafenoquine for malaria prophylaxis, some of which have been noted by third-party experts, include: convenient once weekly dosing following a three-day load; the absence of reports of drug resistance during malaria prophylaxis; activity against liver and blood stages of malaria as well as both the major malaria species (</w:t>
      </w:r>
      <w:r>
        <w:rPr>
          <w:rFonts w:ascii="Times New Roman" w:cs="Times New Roman" w:eastAsia="Times New Roman" w:hAnsi="Times New Roman"/>
          <w:sz w:val="18"/>
          <w:szCs w:val="18"/>
          <w:i w:val="1"/>
          <w:iCs w:val="1"/>
          <w:color w:val="auto"/>
        </w:rPr>
        <w:t>Plasmodium vivax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Plasmodium falciparum</w:t>
      </w:r>
      <w:r>
        <w:rPr>
          <w:rFonts w:ascii="Times New Roman" w:cs="Times New Roman" w:eastAsia="Times New Roman" w:hAnsi="Times New Roman"/>
          <w:sz w:val="18"/>
          <w:szCs w:val="18"/>
          <w:color w:val="auto"/>
        </w:rPr>
        <w:t>); absence of any black-box</w:t>
      </w:r>
    </w:p>
    <w:p>
      <w:pPr>
        <w:spacing w:after="0" w:line="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safety warnings; good tolerability, including in women and individuals with prior psychiatric medical history; and a comparable adverse event rate to placebo with up to 12 months continuous dosing.</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7"/>
          <w:szCs w:val="17"/>
          <w:color w:val="auto"/>
        </w:rPr>
        <w:t xml:space="preserve"> Tafenoquine entered the commercial supply chains in the U.S. and Australia in the third quarter of 2019.</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limitation of Arakoda is the requirement for a G6PD test prior to administration.</w:t>
      </w:r>
      <w:r>
        <w:rPr>
          <w:rFonts w:ascii="Times New Roman" w:cs="Times New Roman" w:eastAsia="Times New Roman" w:hAnsi="Times New Roman"/>
          <w:sz w:val="24"/>
          <w:szCs w:val="24"/>
          <w:color w:val="auto"/>
          <w:vertAlign w:val="superscript"/>
        </w:rPr>
        <w:t>19</w:t>
      </w:r>
      <w:r>
        <w:rPr>
          <w:rFonts w:ascii="Times New Roman" w:cs="Times New Roman" w:eastAsia="Times New Roman" w:hAnsi="Times New Roman"/>
          <w:sz w:val="18"/>
          <w:szCs w:val="18"/>
          <w:color w:val="auto"/>
        </w:rPr>
        <w:t xml:space="preserve"> The G6PD test must be administered to a prospective patient</w:t>
      </w:r>
    </w:p>
    <w:p>
      <w:pPr>
        <w:jc w:val="both"/>
        <w:spacing w:after="0" w:line="194" w:lineRule="auto"/>
        <w:rPr>
          <w:sz w:val="20"/>
          <w:szCs w:val="20"/>
          <w:color w:val="auto"/>
        </w:rPr>
      </w:pPr>
      <w:r>
        <w:rPr>
          <w:rFonts w:ascii="Times New Roman" w:cs="Times New Roman" w:eastAsia="Times New Roman" w:hAnsi="Times New Roman"/>
          <w:sz w:val="18"/>
          <w:szCs w:val="18"/>
          <w:color w:val="auto"/>
        </w:rPr>
        <w:t>prior to administration of Arakoda in order to prevent the potential occurrence of hemolytic anemia in individuals with G6PD deficiency.</w:t>
      </w:r>
      <w:r>
        <w:rPr>
          <w:rFonts w:ascii="Times New Roman" w:cs="Times New Roman" w:eastAsia="Times New Roman" w:hAnsi="Times New Roman"/>
          <w:sz w:val="24"/>
          <w:szCs w:val="24"/>
          <w:color w:val="auto"/>
          <w:vertAlign w:val="superscript"/>
        </w:rPr>
        <w:t>20</w:t>
      </w:r>
      <w:r>
        <w:rPr>
          <w:rFonts w:ascii="Times New Roman" w:cs="Times New Roman" w:eastAsia="Times New Roman" w:hAnsi="Times New Roman"/>
          <w:sz w:val="18"/>
          <w:szCs w:val="18"/>
          <w:color w:val="auto"/>
        </w:rPr>
        <w:t xml:space="preserve"> G6PD is one of the most common enzyme deficiencies and is implicated in hemolysis following administration/ingestion of a variety of oxidant drugs/food. G6PD must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also be ruled out as a possible cause when diagnosing neonatal jaundice. As a consequence, G6PD testing is widely available in the United States through commercial pathology service providers (e.g., Labcorp, Quest Diagnostics, etc.). Although these tests have a turn-around time of up to 72 hours, the test needs only to be administered once. Thus, existing U.S. testing infrastructure is sufficient to support the FDA-approved use of the product (malaria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prevention) by members of the armed forces (who automatically have a G6PD test when they enlist), civilian travelers with a long planning horizon, or repeat travelers.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Tafenoquine for Other (Infectious) Diseases</w:t>
      </w:r>
    </w:p>
    <w:p>
      <w:pPr>
        <w:spacing w:after="0" w:line="148"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 xml:space="preserve">During the pandemic, we also worked with NIH to evaluate the utility of Tafenoquine as an antifungal. We, and the NIH, found that Tafenoquine exhibits a Broad Spectrum of Activity in cell culture against </w:t>
      </w:r>
      <w:r>
        <w:rPr>
          <w:rFonts w:ascii="Times New Roman" w:cs="Times New Roman" w:eastAsia="Times New Roman" w:hAnsi="Times New Roman"/>
          <w:sz w:val="18"/>
          <w:szCs w:val="18"/>
          <w:i w:val="1"/>
          <w:iCs w:val="1"/>
          <w:color w:val="auto"/>
        </w:rPr>
        <w:t>Candida</w:t>
      </w:r>
      <w:r>
        <w:rPr>
          <w:rFonts w:ascii="Times New Roman" w:cs="Times New Roman" w:eastAsia="Times New Roman" w:hAnsi="Times New Roman"/>
          <w:sz w:val="18"/>
          <w:szCs w:val="18"/>
          <w:color w:val="auto"/>
        </w:rPr>
        <w:t xml:space="preserve"> and other yeast strains via a different Mode of Action than traditional antifungals and also</w:t>
      </w:r>
    </w:p>
    <w:p>
      <w:pPr>
        <w:spacing w:after="0" w:line="199" w:lineRule="auto"/>
        <w:rPr>
          <w:sz w:val="20"/>
          <w:szCs w:val="20"/>
          <w:color w:val="auto"/>
        </w:rPr>
      </w:pPr>
      <w:r>
        <w:rPr>
          <w:rFonts w:ascii="Times New Roman" w:cs="Times New Roman" w:eastAsia="Times New Roman" w:hAnsi="Times New Roman"/>
          <w:sz w:val="18"/>
          <w:szCs w:val="18"/>
          <w:color w:val="auto"/>
        </w:rPr>
        <w:t>exhibits antifungal activity against some fungal strains at clinically relevant doses in animal models.</w:t>
      </w:r>
      <w:r>
        <w:rPr>
          <w:rFonts w:ascii="Times New Roman" w:cs="Times New Roman" w:eastAsia="Times New Roman" w:hAnsi="Times New Roman"/>
          <w:sz w:val="24"/>
          <w:szCs w:val="24"/>
          <w:color w:val="auto"/>
          <w:vertAlign w:val="superscript"/>
        </w:rPr>
        <w:t>21</w:t>
      </w:r>
      <w:r>
        <w:rPr>
          <w:rFonts w:ascii="Times New Roman" w:cs="Times New Roman" w:eastAsia="Times New Roman" w:hAnsi="Times New Roman"/>
          <w:sz w:val="18"/>
          <w:szCs w:val="18"/>
          <w:color w:val="auto"/>
        </w:rPr>
        <w:t xml:space="preserve"> Our work followed Legacy Studies that show</w:t>
      </w:r>
    </w:p>
    <w:p>
      <w:pPr>
        <w:spacing w:after="0" w:line="189" w:lineRule="auto"/>
        <w:rPr>
          <w:sz w:val="20"/>
          <w:szCs w:val="20"/>
          <w:color w:val="auto"/>
        </w:rPr>
      </w:pPr>
      <w:r>
        <w:rPr>
          <w:rFonts w:ascii="Times New Roman" w:cs="Times New Roman" w:eastAsia="Times New Roman" w:hAnsi="Times New Roman"/>
          <w:sz w:val="18"/>
          <w:szCs w:val="18"/>
          <w:color w:val="auto"/>
        </w:rPr>
        <w:t xml:space="preserve">Tafenoquine is effective for treatment and prevention of </w:t>
      </w:r>
      <w:r>
        <w:rPr>
          <w:rFonts w:ascii="Times New Roman" w:cs="Times New Roman" w:eastAsia="Times New Roman" w:hAnsi="Times New Roman"/>
          <w:sz w:val="18"/>
          <w:szCs w:val="18"/>
          <w:i w:val="1"/>
          <w:iCs w:val="1"/>
          <w:color w:val="auto"/>
        </w:rPr>
        <w:t>Pneumocystis</w:t>
      </w:r>
      <w:r>
        <w:rPr>
          <w:rFonts w:ascii="Times New Roman" w:cs="Times New Roman" w:eastAsia="Times New Roman" w:hAnsi="Times New Roman"/>
          <w:sz w:val="18"/>
          <w:szCs w:val="18"/>
          <w:color w:val="auto"/>
        </w:rPr>
        <w:t xml:space="preserve"> pneumonia in animal models.</w:t>
      </w:r>
      <w:r>
        <w:rPr>
          <w:rFonts w:ascii="Times New Roman" w:cs="Times New Roman" w:eastAsia="Times New Roman" w:hAnsi="Times New Roman"/>
          <w:sz w:val="24"/>
          <w:szCs w:val="24"/>
          <w:color w:val="auto"/>
          <w:vertAlign w:val="superscript"/>
        </w:rPr>
        <w:t>22</w:t>
      </w:r>
      <w:r>
        <w:rPr>
          <w:rFonts w:ascii="Times New Roman" w:cs="Times New Roman" w:eastAsia="Times New Roman" w:hAnsi="Times New Roman"/>
          <w:sz w:val="18"/>
          <w:szCs w:val="18"/>
          <w:color w:val="auto"/>
        </w:rPr>
        <w:t xml:space="preserve"> In 2025 we tested the hypothesis in animal models</w:t>
      </w:r>
    </w:p>
    <w:p>
      <w:pPr>
        <w:jc w:val="both"/>
        <w:spacing w:after="0" w:line="226" w:lineRule="auto"/>
        <w:rPr>
          <w:sz w:val="20"/>
          <w:szCs w:val="20"/>
          <w:color w:val="auto"/>
        </w:rPr>
      </w:pPr>
      <w:r>
        <w:rPr>
          <w:rFonts w:ascii="Times New Roman" w:cs="Times New Roman" w:eastAsia="Times New Roman" w:hAnsi="Times New Roman"/>
          <w:sz w:val="18"/>
          <w:szCs w:val="18"/>
          <w:color w:val="auto"/>
        </w:rPr>
        <w:t xml:space="preserve">that Tafenoquine might act synergistically with fluconazole against </w:t>
      </w:r>
      <w:r>
        <w:rPr>
          <w:rFonts w:ascii="Times New Roman" w:cs="Times New Roman" w:eastAsia="Times New Roman" w:hAnsi="Times New Roman"/>
          <w:sz w:val="18"/>
          <w:szCs w:val="18"/>
          <w:i w:val="1"/>
          <w:iCs w:val="1"/>
          <w:color w:val="auto"/>
        </w:rPr>
        <w:t>Candida auris</w:t>
      </w:r>
      <w:r>
        <w:rPr>
          <w:rFonts w:ascii="Times New Roman" w:cs="Times New Roman" w:eastAsia="Times New Roman" w:hAnsi="Times New Roman"/>
          <w:sz w:val="18"/>
          <w:szCs w:val="18"/>
          <w:color w:val="auto"/>
        </w:rPr>
        <w:t>. Those data are currently being prepared for publication but suggest that Tafenoquine might only be applicable for adjunctive use, and thus a formal clinical development program is not warranted.</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Tafenoquine monotherapy, or use in combination with other antibabesial medications, clears and eradicates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infections, respectively, in both</w:t>
      </w:r>
    </w:p>
    <w:p>
      <w:pPr>
        <w:spacing w:after="0" w:line="17"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immunocompetent and immunocompromised animal models of babesiosis (tick borne red blood cell infections).</w:t>
      </w:r>
      <w:r>
        <w:rPr>
          <w:rFonts w:ascii="Times New Roman" w:cs="Times New Roman" w:eastAsia="Times New Roman" w:hAnsi="Times New Roman"/>
          <w:sz w:val="24"/>
          <w:szCs w:val="24"/>
          <w:color w:val="auto"/>
          <w:vertAlign w:val="superscript"/>
        </w:rPr>
        <w:t>23</w:t>
      </w:r>
      <w:r>
        <w:rPr>
          <w:rFonts w:ascii="Times New Roman" w:cs="Times New Roman" w:eastAsia="Times New Roman" w:hAnsi="Times New Roman"/>
          <w:sz w:val="18"/>
          <w:szCs w:val="18"/>
          <w:color w:val="auto"/>
        </w:rPr>
        <w:t xml:space="preserve"> In up to 100% of cases, Tafenoquine (at a higher weekly dose than the Arakoda regimen) administered in combination with antibabesial drugs with treatment sustained until consecutive negative</w:t>
      </w:r>
    </w:p>
    <w:p>
      <w:pPr>
        <w:spacing w:after="0" w:line="1"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PCRs were observed, following prior failure of conventional antibiotics in immunosuppressed babesiosis patients, resulted in cure.</w:t>
      </w:r>
      <w:r>
        <w:rPr>
          <w:rFonts w:ascii="Times New Roman" w:cs="Times New Roman" w:eastAsia="Times New Roman" w:hAnsi="Times New Roman"/>
          <w:sz w:val="24"/>
          <w:szCs w:val="24"/>
          <w:color w:val="auto"/>
          <w:vertAlign w:val="superscript"/>
        </w:rPr>
        <w:t>24</w:t>
      </w:r>
      <w:r>
        <w:rPr>
          <w:rFonts w:ascii="Times New Roman" w:cs="Times New Roman" w:eastAsia="Times New Roman" w:hAnsi="Times New Roman"/>
          <w:sz w:val="18"/>
          <w:szCs w:val="18"/>
          <w:color w:val="auto"/>
        </w:rPr>
        <w:t xml:space="preserve"> In our expanded access trial (see “</w:t>
      </w:r>
      <w:r>
        <w:rPr>
          <w:rFonts w:ascii="Times New Roman" w:cs="Times New Roman" w:eastAsia="Times New Roman" w:hAnsi="Times New Roman"/>
          <w:sz w:val="18"/>
          <w:szCs w:val="18"/>
          <w:i w:val="1"/>
          <w:iCs w:val="1"/>
          <w:color w:val="auto"/>
        </w:rPr>
        <w:t>Strategy</w:t>
      </w:r>
      <w:r>
        <w:rPr>
          <w:rFonts w:ascii="Times New Roman" w:cs="Times New Roman" w:eastAsia="Times New Roman" w:hAnsi="Times New Roman"/>
          <w:sz w:val="18"/>
          <w:szCs w:val="18"/>
          <w:color w:val="auto"/>
        </w:rPr>
        <w:t>” section), we have observed that the Arakoda regimen of Tafenoquine administered concurrently with a combination of existing</w:t>
      </w:r>
    </w:p>
    <w:p>
      <w:pPr>
        <w:spacing w:after="0"/>
        <w:rPr>
          <w:sz w:val="20"/>
          <w:szCs w:val="20"/>
          <w:color w:val="auto"/>
        </w:rPr>
      </w:pPr>
      <w:r>
        <w:rPr>
          <w:rFonts w:ascii="Times New Roman" w:cs="Times New Roman" w:eastAsia="Times New Roman" w:hAnsi="Times New Roman"/>
          <w:sz w:val="18"/>
          <w:szCs w:val="18"/>
          <w:color w:val="auto"/>
        </w:rPr>
        <w:t>drugs including atovaquone cured all three relapsing immunosuppressed patients enrolled in the study. Tafenoquine is also increasingly being utilized by</w:t>
      </w:r>
    </w:p>
    <w:p>
      <w:pPr>
        <w:jc w:val="both"/>
        <w:spacing w:after="0" w:line="207" w:lineRule="auto"/>
        <w:rPr>
          <w:sz w:val="20"/>
          <w:szCs w:val="20"/>
          <w:color w:val="auto"/>
        </w:rPr>
      </w:pPr>
      <w:r>
        <w:rPr>
          <w:rFonts w:ascii="Times New Roman" w:cs="Times New Roman" w:eastAsia="Times New Roman" w:hAnsi="Times New Roman"/>
          <w:sz w:val="18"/>
          <w:szCs w:val="18"/>
          <w:color w:val="auto"/>
        </w:rPr>
        <w:t>Lyme disease prescribers to manage symptoms of Chronic Babesiosis. Consequently, we believe that (i) if combined with standard of care products, Tafenoquine has the potential to accelerate parasite clearance and reduce the duration of illness and treatment with antibiotic therapy in immunosuppressed patients hospitalized with severe illness, (ii) once appropriate clinical studies have been conducted, it is likely that Tafenoquine would be quickly embraced for post-exposure prophylaxis of babesiosis in patients with tick bites, and (iii) Tafenoquine could become the leading treatment for Chronic Babesiosis.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Clinical trial(s) to prove safety and efficacy, and approval by FDA and other regulators, would be required before Tafenoquine could be marketed for these indications.</w:t>
      </w:r>
    </w:p>
    <w:p>
      <w:pPr>
        <w:spacing w:after="0" w:line="171" w:lineRule="exact"/>
        <w:rPr>
          <w:sz w:val="20"/>
          <w:szCs w:val="20"/>
          <w:color w:val="auto"/>
        </w:rPr>
      </w:pPr>
    </w:p>
    <w:p>
      <w:pPr>
        <w:jc w:val="both"/>
        <w:ind w:left="340" w:hanging="332"/>
        <w:spacing w:after="0" w:line="216"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Tan and Hwang Journal of Travel Medicine, 2018, 1–2; Baird Journal of Travel Medicine 2018:, 1–13; Schlagenhauf et al Travel Medicine and Infectious Disease 2022; 46:102268; See Arakoda prescribing information at www.arakoda.com; McCarthy et al CID 2019:69:480-486; Dow et al. Malar J (2015) 14:473; Dow et al. Malaria Journal 2014, 13:49; Novitt-Moreno et al Travel Med Infect Dis 2022 Jan-Feb;45:102211.</w:t>
      </w:r>
    </w:p>
    <w:p>
      <w:pPr>
        <w:spacing w:after="0" w:line="1" w:lineRule="exact"/>
        <w:rPr>
          <w:rFonts w:ascii="Times New Roman" w:cs="Times New Roman" w:eastAsia="Times New Roman" w:hAnsi="Times New Roman"/>
          <w:sz w:val="12"/>
          <w:szCs w:val="12"/>
          <w:color w:val="auto"/>
        </w:rPr>
      </w:pPr>
    </w:p>
    <w:p>
      <w:pPr>
        <w:ind w:left="340" w:hanging="332"/>
        <w:spacing w:after="0" w:line="234"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According to literature cited in Footnote 18.</w:t>
      </w:r>
    </w:p>
    <w:p>
      <w:pPr>
        <w:ind w:left="340" w:hanging="332"/>
        <w:spacing w:after="0" w:line="234"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According to literature cited in Footnote 18.</w:t>
      </w:r>
    </w:p>
    <w:p>
      <w:pPr>
        <w:ind w:left="340" w:hanging="332"/>
        <w:spacing w:after="0" w:line="234"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Dow and Smith, New Microbe and New Infect 2022; 45: 100964.</w:t>
      </w:r>
    </w:p>
    <w:p>
      <w:pPr>
        <w:ind w:left="340" w:hanging="332"/>
        <w:spacing w:after="0" w:line="234"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Queener et al Journal of Infectious Diseases 1992;165:764-8).</w:t>
      </w:r>
    </w:p>
    <w:p>
      <w:pPr>
        <w:ind w:left="340" w:hanging="332"/>
        <w:spacing w:after="0" w:line="211" w:lineRule="auto"/>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Liu et al. Antimicrobial Agents Chemo 2021;65:e00204-21, Marcos et al. IDCases 2022;27:e01460; Rogers et al. Clin Infect Dis. 2022 Jun 10:ciac473, Prasad and Wormsner. Pathogens 2022;11:1015.</w:t>
      </w:r>
    </w:p>
    <w:p>
      <w:pPr>
        <w:ind w:left="340" w:hanging="332"/>
        <w:spacing w:after="0"/>
        <w:tabs>
          <w:tab w:leader="none" w:pos="3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xml:space="preserve">Krause et al </w:t>
      </w:r>
      <w:r>
        <w:rPr>
          <w:rFonts w:ascii="Times New Roman" w:cs="Times New Roman" w:eastAsia="Times New Roman" w:hAnsi="Times New Roman"/>
          <w:sz w:val="18"/>
          <w:szCs w:val="18"/>
          <w:i w:val="1"/>
          <w:iCs w:val="1"/>
          <w:color w:val="auto"/>
        </w:rPr>
        <w:t>Clin Infect Dis</w:t>
      </w:r>
      <w:r>
        <w:rPr>
          <w:rFonts w:ascii="Times New Roman" w:cs="Times New Roman" w:eastAsia="Times New Roman" w:hAnsi="Times New Roman"/>
          <w:sz w:val="18"/>
          <w:szCs w:val="18"/>
          <w:color w:val="auto"/>
        </w:rPr>
        <w:t xml:space="preserve"> 2024; doi:10.1093/cid/ciae238.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-1229360</wp:posOffset>
            </wp:positionV>
            <wp:extent cx="21431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Celgosivir</w:t>
      </w:r>
    </w:p>
    <w:p>
      <w:pPr>
        <w:spacing w:after="0" w:line="196" w:lineRule="exact"/>
        <w:rPr>
          <w:sz w:val="20"/>
          <w:szCs w:val="20"/>
          <w:color w:val="auto"/>
        </w:rPr>
      </w:pPr>
    </w:p>
    <w:p>
      <w:pPr>
        <w:jc w:val="both"/>
        <w:spacing w:after="0" w:line="200" w:lineRule="auto"/>
        <w:rPr>
          <w:sz w:val="20"/>
          <w:szCs w:val="20"/>
          <w:color w:val="auto"/>
        </w:rPr>
      </w:pPr>
      <w:r>
        <w:rPr>
          <w:rFonts w:ascii="Times New Roman" w:cs="Times New Roman" w:eastAsia="Times New Roman" w:hAnsi="Times New Roman"/>
          <w:sz w:val="18"/>
          <w:szCs w:val="18"/>
          <w:color w:val="auto"/>
        </w:rPr>
        <w:t>Celgosivir is a host targeted glucosidase inhibitor that was developed separately by other sponsors for HIV then for hepatitis C.</w:t>
      </w:r>
      <w:r>
        <w:rPr>
          <w:rFonts w:ascii="Times New Roman" w:cs="Times New Roman" w:eastAsia="Times New Roman" w:hAnsi="Times New Roman"/>
          <w:sz w:val="24"/>
          <w:szCs w:val="24"/>
          <w:color w:val="auto"/>
          <w:vertAlign w:val="superscript"/>
        </w:rPr>
        <w:t>25</w:t>
      </w:r>
      <w:r>
        <w:rPr>
          <w:rFonts w:ascii="Times New Roman" w:cs="Times New Roman" w:eastAsia="Times New Roman" w:hAnsi="Times New Roman"/>
          <w:sz w:val="18"/>
          <w:szCs w:val="18"/>
          <w:color w:val="auto"/>
        </w:rPr>
        <w:t xml:space="preserve"> The sponsors abandoned Celgosivir after completion of Phase II clinical trials involving 700+ patients, because other antivirals in development at the time had superior activity.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National University of Singapore initiated development of Celgosivir independently for Dengue fever. A clinical study, conducted in Singapore, the results of which were accepted for publication in the peer-reviewed journal Lancet Infectious Diseases, confirmed its safety but the observed reduction in viral</w:t>
      </w:r>
    </w:p>
    <w:p>
      <w:pPr>
        <w:spacing w:after="0" w:line="189" w:lineRule="auto"/>
        <w:rPr>
          <w:sz w:val="20"/>
          <w:szCs w:val="20"/>
          <w:color w:val="auto"/>
        </w:rPr>
      </w:pPr>
      <w:r>
        <w:rPr>
          <w:rFonts w:ascii="Times New Roman" w:cs="Times New Roman" w:eastAsia="Times New Roman" w:hAnsi="Times New Roman"/>
          <w:sz w:val="18"/>
          <w:szCs w:val="18"/>
          <w:color w:val="auto"/>
        </w:rPr>
        <w:t>load was lower than what the study was powered to detect.</w:t>
      </w:r>
      <w:r>
        <w:rPr>
          <w:rFonts w:ascii="Times New Roman" w:cs="Times New Roman" w:eastAsia="Times New Roman" w:hAnsi="Times New Roman"/>
          <w:sz w:val="24"/>
          <w:szCs w:val="24"/>
          <w:color w:val="auto"/>
          <w:vertAlign w:val="superscript"/>
        </w:rPr>
        <w:t>26</w:t>
      </w:r>
      <w:r>
        <w:rPr>
          <w:rFonts w:ascii="Times New Roman" w:cs="Times New Roman" w:eastAsia="Times New Roman" w:hAnsi="Times New Roman"/>
          <w:sz w:val="18"/>
          <w:szCs w:val="18"/>
          <w:color w:val="auto"/>
        </w:rPr>
        <w:t xml:space="preserve"> Celgosivir (as with other Dengue antivirals) exhibits greater capacity to cure Dengue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infections in animal models when administered prior to symptom onset when compared to administration post-symptom onset. In animal models, this problem can be addressed by administering the same dose of drug split into four doses per day rather than two doses per day (as was the case in the</w:t>
      </w:r>
    </w:p>
    <w:p>
      <w:pPr>
        <w:spacing w:after="0" w:line="1" w:lineRule="exact"/>
        <w:rPr>
          <w:sz w:val="20"/>
          <w:szCs w:val="20"/>
          <w:color w:val="auto"/>
        </w:rPr>
      </w:pPr>
    </w:p>
    <w:p>
      <w:pPr>
        <w:jc w:val="both"/>
        <w:ind w:right="20"/>
        <w:spacing w:after="0" w:line="214" w:lineRule="auto"/>
        <w:rPr>
          <w:sz w:val="20"/>
          <w:szCs w:val="20"/>
          <w:color w:val="auto"/>
        </w:rPr>
      </w:pPr>
      <w:r>
        <w:rPr>
          <w:rFonts w:ascii="Times New Roman" w:cs="Times New Roman" w:eastAsia="Times New Roman" w:hAnsi="Times New Roman"/>
          <w:sz w:val="18"/>
          <w:szCs w:val="18"/>
          <w:color w:val="auto"/>
        </w:rPr>
        <w:t>Singaporean clinical trial).</w:t>
      </w:r>
      <w:r>
        <w:rPr>
          <w:rFonts w:ascii="Times New Roman" w:cs="Times New Roman" w:eastAsia="Times New Roman" w:hAnsi="Times New Roman"/>
          <w:sz w:val="24"/>
          <w:szCs w:val="24"/>
          <w:color w:val="auto"/>
          <w:vertAlign w:val="superscript"/>
        </w:rPr>
        <w:t>27</w:t>
      </w:r>
      <w:r>
        <w:rPr>
          <w:rFonts w:ascii="Times New Roman" w:cs="Times New Roman" w:eastAsia="Times New Roman" w:hAnsi="Times New Roman"/>
          <w:sz w:val="18"/>
          <w:szCs w:val="18"/>
          <w:color w:val="auto"/>
        </w:rPr>
        <w:t xml:space="preserve"> This observation led to the filing and approval of a patent related to Dengue, which we licensed from the National University of Singapore.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clinical studies would be required to prove that such a 4x daily dosing regimen would be safe and effective in Dengue patients to regulators’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satisfaction. To that end, earlier in our history, we, in partnership with the National University of Singapore, and Singapore General Hospital, successfully secured a grant from the government of Singapore for a follow-on clinical trial. Unfortunately, we were unable at that time to raise matching private sector funding. We concluded as a result that development of Repositioned Molecules for Dengue, solely and without simultaneous development for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therapeutic use, despite substantial morbidity and mortality in tropical countries, was an effort best suited for philanthropic entities. Accordingly, during the pandemic, we undertook an effort (in partnership with NIH’s Division of Microbiology and Infectious Diseases program and Florida State University) to determine whether Celgosivir might be more broadly useful for respiratory diseases that have impact in both tropical and temperate countries. Preliminary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data suggest that Celgosivir inhibits the replication of the virus that causes COVID-19 (SARS-CoV-2) in cell culture, and the RSV virus in cell culture and provides benefits in animals. We have filed and/or licensed patents in relation to Celgosivir for these other viruses as we believe there is potential applications to fight respiratory diseases that might have more commercial viability than historical development of Celgosivir to combat Dengue fever.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Australian Chestnut Extract</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Celgosivir is derived synthetically in a single chemical step from the naturally occurring alkaloid, castanospermine, isolated from extracts of the Australian Chestnut Tree (</w:t>
      </w:r>
      <w:r>
        <w:rPr>
          <w:rFonts w:ascii="Times New Roman" w:cs="Times New Roman" w:eastAsia="Times New Roman" w:hAnsi="Times New Roman"/>
          <w:sz w:val="18"/>
          <w:szCs w:val="18"/>
          <w:i w:val="1"/>
          <w:iCs w:val="1"/>
          <w:color w:val="auto"/>
        </w:rPr>
        <w:t>Castanospermum australe</w:t>
      </w:r>
      <w:r>
        <w:rPr>
          <w:rFonts w:ascii="Times New Roman" w:cs="Times New Roman" w:eastAsia="Times New Roman" w:hAnsi="Times New Roman"/>
          <w:sz w:val="18"/>
          <w:szCs w:val="18"/>
          <w:color w:val="auto"/>
        </w:rPr>
        <w:t>). When administered to humans or animals, celgosivir is almost completely metabolized to castanopsermine, which is the dominant metabolite. Abundant scientific literature has confirmed the antiviral, metabolic, and immunomodulatory properties of</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castanospermine. In March 2026, we submitted a 75-Day Notification to FDA that we intend to market a capsule formulation of Australian Chestnut Extract. We plan to commercialize this product under the trade name Castanoboost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Strengths</w:t>
      </w:r>
    </w:p>
    <w:p>
      <w:pPr>
        <w:sectPr>
          <w:pgSz w:w="11900" w:h="16838" w:orient="portrait"/>
          <w:cols w:equalWidth="0" w:num="1">
            <w:col w:w="11240"/>
          </w:cols>
          <w:pgMar w:left="320" w:top="108" w:right="339" w:bottom="0" w:gutter="0" w:footer="0" w:header="0"/>
        </w:sectPr>
      </w:pPr>
    </w:p>
    <w:bookmarkStart w:id="9" w:name="page10"/>
    <w:bookmarkEnd w:id="9"/>
    <w:p>
      <w:pPr>
        <w:spacing w:after="0" w:line="86"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18"/>
          <w:szCs w:val="18"/>
          <w:color w:val="auto"/>
        </w:rPr>
        <w:t>Our main competitive strength has been our ability to achieve important clinical milestones inexpensively in therapeutic areas that other entities have found extremely challenging. With a small virtual management team, we have successfully built productive research partnerships with public and academic</w:t>
      </w:r>
    </w:p>
    <w:p>
      <w:pPr>
        <w:jc w:val="both"/>
        <w:spacing w:after="0" w:line="208" w:lineRule="auto"/>
        <w:rPr>
          <w:sz w:val="20"/>
          <w:szCs w:val="20"/>
          <w:color w:val="auto"/>
        </w:rPr>
      </w:pPr>
      <w:r>
        <w:rPr>
          <w:rFonts w:ascii="Times New Roman" w:cs="Times New Roman" w:eastAsia="Times New Roman" w:hAnsi="Times New Roman"/>
          <w:sz w:val="18"/>
          <w:szCs w:val="18"/>
          <w:color w:val="auto"/>
        </w:rPr>
        <w:t>entities, and licensed products with well characterized safety profiles in prior clinical studies, thereby reducing the cost and risk of clinical development. This business and product model enabled Arakoda to be approved in 2018, with a total operating expense of &lt; $10 million. We plan to focus in the future on generating proof of concept clinical data sets for the approved Arakoda regimen of Tafenoquine in other therapeutic areas, all of which is expected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foster and continue our existing tradition of inexpensive product development.</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Strategy</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Our general strategy to achieve profitability and grow shareholder value has three facets: (i) increase sales of Arakoda, (ii) conduct clinical trials to expand the number of patients who can use Tafenoquine for new indications in the future; and (iii) reposition small molecule therapeutics with good clinical safety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profiles for new indications.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of U.S. Arakoda Sales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Hiring of Chief Commercial Officer.</w:t>
      </w:r>
      <w:r>
        <w:rPr>
          <w:rFonts w:ascii="Times New Roman" w:cs="Times New Roman" w:eastAsia="Times New Roman" w:hAnsi="Times New Roman"/>
          <w:sz w:val="18"/>
          <w:szCs w:val="18"/>
          <w:color w:val="auto"/>
        </w:rPr>
        <w:t xml:space="preserve"> In February 2024, we hired Kristen Landon to lead our commercial efforts to reintroduce Arakoda for malaria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prevention and conduct new product planning initiatives in tick-borne disease for babesiosis. We spent the first quarter of 2024 analyzing the current landscape in the malaria prevention market, conducting primary market research among providers and consumers, and assessing agency partners for a virtual/digital marketing pilot program. Additionally, we kicked off a market assessment on the babesiosis space including desk top research and qualitative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interviews with Key Opinion Leaders in the Infectious Disease and Lyme Community. In 2025 we conducted quantitative research with Healthcare Providers and consumers to assess the market opportunity for the Chronic Babesiosis development program. We included a patient survey to measure self-reported prevalence of babesiosis and other relevant conditions across geographic regions and assessed claims data to support our findings. We have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developed and cultivated key relationships with the tick-borne disease community including professional associations such as ILADS and Global Lyme Alliance and advocacy groups to help us understand the unmet needs in this currently under recognized, under diagnosed and misunderstood therapeutic area.</w:t>
      </w:r>
    </w:p>
    <w:p>
      <w:pPr>
        <w:spacing w:after="0" w:line="172"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Sorbera et al, Drugs of the Future 2005; 30:545-552.</w:t>
      </w:r>
    </w:p>
    <w:p>
      <w:pPr>
        <w:spacing w:after="0" w:line="15" w:lineRule="exact"/>
        <w:rPr>
          <w:rFonts w:ascii="Times New Roman" w:cs="Times New Roman" w:eastAsia="Times New Roman" w:hAnsi="Times New Roman"/>
          <w:sz w:val="12"/>
          <w:szCs w:val="12"/>
          <w:color w:val="auto"/>
        </w:rPr>
      </w:pPr>
    </w:p>
    <w:p>
      <w:pPr>
        <w:ind w:left="340" w:hanging="332"/>
        <w:spacing w:after="0" w:line="234" w:lineRule="auto"/>
        <w:tabs>
          <w:tab w:leader="none" w:pos="3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Low et. al., Lancet ID 2014; 14:706-715.</w:t>
      </w:r>
    </w:p>
    <w:p>
      <w:pPr>
        <w:ind w:left="340" w:hanging="332"/>
        <w:spacing w:after="0"/>
        <w:tabs>
          <w:tab w:leader="none" w:pos="3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Watanabe et al, Antiviral Research 2016; 10:e19.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21431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P&amp;L Contract Review.</w:t>
      </w:r>
      <w:r>
        <w:rPr>
          <w:rFonts w:ascii="Times New Roman" w:cs="Times New Roman" w:eastAsia="Times New Roman" w:hAnsi="Times New Roman"/>
          <w:sz w:val="18"/>
          <w:szCs w:val="18"/>
          <w:color w:val="auto"/>
        </w:rPr>
        <w:t xml:space="preserve"> We will conduct a review of all of our supply chain and formulary contracts to determine whether it is possible to increase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margin on Arakoda without increasing prices, or to compensate for any price adjustments which may be necessary to support repositioning efforts (see below). We introduced an 8-count bottle of ARAKODA NCD # 71475-257-02 into the supply chain in Q2 of 2025.</w:t>
      </w:r>
    </w:p>
    <w:p>
      <w:pPr>
        <w:spacing w:after="0" w:line="13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u w:val="single" w:color="auto"/>
          <w:color w:val="auto"/>
        </w:rPr>
        <w:t>Repositioning of Arakoda Relative to Malarone and Generic Equivalent Atovaquone-Proguanil</w:t>
      </w:r>
      <w:r>
        <w:rPr>
          <w:rFonts w:ascii="Times New Roman" w:cs="Times New Roman" w:eastAsia="Times New Roman" w:hAnsi="Times New Roman"/>
          <w:sz w:val="18"/>
          <w:szCs w:val="18"/>
          <w:color w:val="auto"/>
        </w:rPr>
        <w:t>. A malaria demand study was conducted to assess the attractiveness and acceptability of the Arakoda product profile and current pricing among health care providers and consumers. The product profile was well received among both stakeholders; however, price sensitivity on out-of-pocket costs was noted among both groups. Generic atovaquone-proguanil, our primary competitor, is substantially cheaper than Arakoda for the average trip length (three weeks) and has superior formulary positioning (Tier 1 vs. Tier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 However, generic-atovaquone proguanil does not provide the same level of confidence a traveler may experience from taking a product with a convenient weekly dosing regimen during travel, that works everywhere in the world against all malaria species and drug-resistant strains, and which requires only a single dose for post-exposure prophylaxis upon return from a malarious area. The value those advantages confer needs to be communicated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key stakeholders.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 Segment, Targeting, and Commercial Update</w:t>
      </w:r>
      <w:r>
        <w:rPr>
          <w:rFonts w:ascii="Times New Roman" w:cs="Times New Roman" w:eastAsia="Times New Roman" w:hAnsi="Times New Roman"/>
          <w:sz w:val="18"/>
          <w:szCs w:val="18"/>
          <w:color w:val="auto"/>
        </w:rPr>
        <w:t>. We purchased market data to understand the malaria market landscape over the past decade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identified the current prescribers of Malarone and the generic equivalent atovaquone-proguanil, the main generic competitor to Arakoda for malaria prophylaxis. The ARAKODA commercial pilot program commenced in Q1 2025, with three main objectives: 1. Increase ARAKODA awareness and communicate ARAKODA’s value proposition; 2. Drive ARAKODA trial and usage; and 3. Facilitate access and affordability. The pilot includes a three-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pronged approach utilizing Virtual Sales Representatives (VSRs), a programmatic email campaign, and a co-pay offering for commercially insured patients. Based on the results of the pilot, we expanded our VSR team, optimized our omnichannel outreach, and partnered with GoodRx to expand our Point of Sale (POS) discount. We announced a partnership with Runway Health, an asynchronous travel medicine platform to engage travelers that are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actively seeking malaria prophylaxis treatment. We plan to launch the ARAKODA landing page on the Runway platform in Q1 of 2026. Additionally, we conducted an ATU (Awareness, Trial, and Usage) with study with HCPs in Q1 2026 and were encouraged by the findings. Our overall awareness is relatively low, however the receptivity to the ARAKODA messaging in our new promotional materials greatly increased the level of interest and intended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use of the product which substantiates our commercial expansion with the added VSRs and increased medical congress presence. We do not initially plan to target U.S. government agencies as these organizations are either contracting their ex-U.S footprints or, as in the case of the Department of Defense, are expected to be extremely price sensitive until operational considerations justify the use of superior products – for example, the DOD used inexpensive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doxycycline for malaria prevention in the low malaria risk setting of Afghanistan, but chose superior weekly mefloquine, despite safety concerns, for the Ebola mission to west Africa in 2014, where malaria rates were extremely high.</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u w:val="single" w:color="auto"/>
          <w:color w:val="auto"/>
        </w:rPr>
        <w:t>Digital Revamp and Collateral:</w:t>
      </w:r>
      <w:r>
        <w:rPr>
          <w:rFonts w:ascii="Times New Roman" w:cs="Times New Roman" w:eastAsia="Times New Roman" w:hAnsi="Times New Roman"/>
          <w:sz w:val="18"/>
          <w:szCs w:val="18"/>
          <w:color w:val="auto"/>
        </w:rPr>
        <w:t xml:space="preserve"> Our marketing strategy and objectives for our commercial outreach include marketing assets that we believe best highlight the features and benefits of Arakoda, namely the convenience of the travel and post-travel regimen, and global effectiveness and a co-pay benefit to reduce the out-of-pocket expense for individuals with commercial insurance. We will launch new marketing assets including HCP promotions, a patient brochure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ARAKODA dosing cards based on feedback from our pilot. All marketing assets will be distributed by our VSRs and available at medical congresses and will also reside on ARAKODA.com.</w:t>
      </w:r>
    </w:p>
    <w:p>
      <w:pPr>
        <w:spacing w:after="0" w:line="13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u w:val="single" w:color="auto"/>
          <w:color w:val="auto"/>
        </w:rPr>
        <w:t>Revised Forecast.</w:t>
      </w:r>
      <w:r>
        <w:rPr>
          <w:rFonts w:ascii="Times New Roman" w:cs="Times New Roman" w:eastAsia="Times New Roman" w:hAnsi="Times New Roman"/>
          <w:sz w:val="18"/>
          <w:szCs w:val="18"/>
          <w:color w:val="auto"/>
        </w:rPr>
        <w:t xml:space="preserve"> We have developed an internal forecast for malaria indication and will do the same for the Babesiosis indication after completion of market research studies.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Development of the Arakoda Regimen of Tafenoquine for Babesiosis</w:t>
      </w:r>
    </w:p>
    <w:p>
      <w:pPr>
        <w:spacing w:after="0" w:line="146"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18"/>
          <w:szCs w:val="18"/>
          <w:color w:val="auto"/>
        </w:rPr>
        <w:t>In animal models, Tafenoquine monotherapy has been shown to suppress acute babesiosis infections to the point where the immune system can control them following single or multiple doses similar to those effective against malaria parasites, and longer regimens alone or in combination with atovaquone</w:t>
      </w:r>
    </w:p>
    <w:p>
      <w:pPr>
        <w:jc w:val="both"/>
        <w:spacing w:after="0" w:line="207" w:lineRule="auto"/>
        <w:rPr>
          <w:sz w:val="20"/>
          <w:szCs w:val="20"/>
          <w:color w:val="auto"/>
        </w:rPr>
      </w:pPr>
      <w:r>
        <w:rPr>
          <w:rFonts w:ascii="Times New Roman" w:cs="Times New Roman" w:eastAsia="Times New Roman" w:hAnsi="Times New Roman"/>
          <w:sz w:val="18"/>
          <w:szCs w:val="18"/>
          <w:color w:val="auto"/>
        </w:rPr>
        <w:t>leads to complete radical cure and to the conference of sterile immunity.</w:t>
      </w:r>
      <w:r>
        <w:rPr>
          <w:rFonts w:ascii="Times New Roman" w:cs="Times New Roman" w:eastAsia="Times New Roman" w:hAnsi="Times New Roman"/>
          <w:sz w:val="24"/>
          <w:szCs w:val="24"/>
          <w:color w:val="auto"/>
          <w:vertAlign w:val="superscript"/>
        </w:rPr>
        <w:t>28</w:t>
      </w:r>
      <w:r>
        <w:rPr>
          <w:rFonts w:ascii="Times New Roman" w:cs="Times New Roman" w:eastAsia="Times New Roman" w:hAnsi="Times New Roman"/>
          <w:sz w:val="18"/>
          <w:szCs w:val="18"/>
          <w:color w:val="auto"/>
        </w:rPr>
        <w:t xml:space="preserve"> In a case series of five immunosuppressed patients in whom prior standard of care treatments failed, weekly Tafenoquine at a higher weekly dose than the Arakoda regimen combined with standard of care treatments resulted in</w:t>
      </w:r>
    </w:p>
    <w:p>
      <w:pPr>
        <w:spacing w:after="0" w:line="1"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sustained clinical resolution (symptom clearance and at least two negative consecutive PCRs) in four (80%) of individuals.</w:t>
      </w:r>
      <w:r>
        <w:rPr>
          <w:rFonts w:ascii="Times New Roman" w:cs="Times New Roman" w:eastAsia="Times New Roman" w:hAnsi="Times New Roman"/>
          <w:sz w:val="24"/>
          <w:szCs w:val="24"/>
          <w:color w:val="auto"/>
          <w:vertAlign w:val="superscript"/>
        </w:rPr>
        <w:t>29</w:t>
      </w:r>
      <w:r>
        <w:rPr>
          <w:rFonts w:ascii="Times New Roman" w:cs="Times New Roman" w:eastAsia="Times New Roman" w:hAnsi="Times New Roman"/>
          <w:sz w:val="18"/>
          <w:szCs w:val="18"/>
          <w:color w:val="auto"/>
        </w:rPr>
        <w:t xml:space="preserve"> In the fifth patient in that case series treatment was discontinued for unstated reasons prior to the observation of consecutive negative PCRs, meaning that the overall cure rate may actually approach 100% in treatment compliant individuals. Our market research has revealed that recent sales growth for Arakoda is primarily attributable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organic growth in prescribing by Lyme community prescribers for Chronic Babesiosis. Collectively these data suggest Tafenoquine might have utility alone or in combination as treatment or post-exposure prophylaxis of babesiosis (both acute and chronic).</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Company is planning three clinical trials to aid further development and commercialization of a Babesiosis indication for Tafenoquine. Trial 1 is a randomized, placebo-controlled, evaluation of an approximately one-month treatment course of Tafenoquine (Arakoda regimen) in patients hospitalized with babesiosis who are also taking standard of care treatment (10 days of atovaquone-azithromycin). The primary endpoint will be time to clinical</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recovery of 11 common babesiosis symptoms as reported by patients and the secondary endpoint is the time to molecular cure (using a commercial PCR assay). The study will enroll a minimum of 24 and up to 33 patients before an interim analysis is conducted, which will include both a test of significance and a sample size re-estimation in case this is required. We have signed clinical trial agreements with Tufts Medical Group, Yale, Rhode Island Hospital,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Brigham &amp; Women’s Hospital, and will attempt to initiate two additional sites prior to the 2026 tick season. The first patient was randomized on June</w:t>
      </w:r>
    </w:p>
    <w:p>
      <w:pPr>
        <w:sectPr>
          <w:pgSz w:w="11900" w:h="16924" w:orient="portrait"/>
          <w:cols w:equalWidth="0" w:num="1">
            <w:col w:w="11240"/>
          </w:cols>
          <w:pgMar w:left="320" w:top="108" w:right="339" w:bottom="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25, 2024, and 19 patients have completed the study. The earliest possible date that date would be available from the interim analysis would be around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30, 2026, assuming a minimum of 24 patients are enrolled prior to July 31, 2026. Further details are available on the clinicaltrials.gov website.</w:t>
      </w:r>
      <w:r>
        <w:rPr>
          <w:rFonts w:ascii="Times New Roman" w:cs="Times New Roman" w:eastAsia="Times New Roman" w:hAnsi="Times New Roman"/>
          <w:sz w:val="23"/>
          <w:szCs w:val="23"/>
          <w:color w:val="auto"/>
          <w:vertAlign w:val="superscript"/>
        </w:rPr>
        <w:t>30</w:t>
      </w:r>
    </w:p>
    <w:p>
      <w:pPr>
        <w:spacing w:after="0" w:line="148" w:lineRule="exact"/>
        <w:rPr>
          <w:sz w:val="20"/>
          <w:szCs w:val="20"/>
          <w:color w:val="auto"/>
        </w:rPr>
      </w:pPr>
    </w:p>
    <w:p>
      <w:pPr>
        <w:ind w:left="480" w:hanging="418"/>
        <w:spacing w:after="0"/>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Liu et al. Antimicrobial Agents Chemo 2021;65:e00204-21. Vydyam et al. J Infect Dis. 2024 Jan 3:jiad315. doi:10.1093/infdis/jiad315.</w:t>
      </w:r>
    </w:p>
    <w:p>
      <w:pPr>
        <w:spacing w:after="0" w:line="27" w:lineRule="exact"/>
        <w:rPr>
          <w:rFonts w:ascii="Times New Roman" w:cs="Times New Roman" w:eastAsia="Times New Roman" w:hAnsi="Times New Roman"/>
          <w:sz w:val="12"/>
          <w:szCs w:val="12"/>
          <w:color w:val="auto"/>
        </w:rPr>
      </w:pPr>
    </w:p>
    <w:p>
      <w:pPr>
        <w:ind w:left="480" w:hanging="418"/>
        <w:spacing w:after="0" w:line="221" w:lineRule="auto"/>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xml:space="preserve">Krause et al </w:t>
      </w:r>
      <w:r>
        <w:rPr>
          <w:rFonts w:ascii="Times New Roman" w:cs="Times New Roman" w:eastAsia="Times New Roman" w:hAnsi="Times New Roman"/>
          <w:sz w:val="18"/>
          <w:szCs w:val="18"/>
          <w:i w:val="1"/>
          <w:iCs w:val="1"/>
          <w:color w:val="auto"/>
        </w:rPr>
        <w:t>Clin Infect Dis</w:t>
      </w:r>
      <w:r>
        <w:rPr>
          <w:rFonts w:ascii="Times New Roman" w:cs="Times New Roman" w:eastAsia="Times New Roman" w:hAnsi="Times New Roman"/>
          <w:sz w:val="18"/>
          <w:szCs w:val="18"/>
          <w:color w:val="auto"/>
        </w:rPr>
        <w:t xml:space="preserve"> 2024; doi:10.1093/cid/ciae238.</w:t>
      </w:r>
    </w:p>
    <w:p>
      <w:pPr>
        <w:ind w:left="480" w:hanging="418"/>
        <w:spacing w:after="0"/>
        <w:tabs>
          <w:tab w:leader="none" w:pos="4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entry for NCT06207370 on the clinicaltrials.gov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21431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Trial 2 is an expanded use study utilizing commercially available Arakoda. The Company is offering up to one year of Arakoda at no cost to up to 10 patients per year (i.e., immunocompromised patients who have previously failed standard of care treatment). Informed consent will be obtained from patients to collect a blood sample for PCR testing at the end of treatment, and patients will be asked to complete a babesiosis symptom questionnaire.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goal of the study is to generate additional prospective data to confirm the observation by Krause et al in a recent publication that an extended regimen of Tafenoquine combined with standard of care regimens cured up to 100% of treatment-compliant immunocompromised patients with relapsing babesiosis. The main difference is that the study will evaluate the weekly Arakoda dose of Tafenoquine (200 mg) whereas Krause evaluated a 300 mg weekly dose,</w:t>
      </w:r>
    </w:p>
    <w:p>
      <w:pPr>
        <w:spacing w:after="0" w:line="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although simulations suggest both regimens maintain drug levels above protective thresholds. As of the date of this filing, three patients have completed the study and all were cured. More details about the study can be found on the clinicaltrials.gov website.</w:t>
      </w:r>
      <w:r>
        <w:rPr>
          <w:rFonts w:ascii="Times New Roman" w:cs="Times New Roman" w:eastAsia="Times New Roman" w:hAnsi="Times New Roman"/>
          <w:sz w:val="24"/>
          <w:szCs w:val="24"/>
          <w:color w:val="auto"/>
          <w:vertAlign w:val="superscript"/>
        </w:rPr>
        <w:t>31</w:t>
      </w:r>
    </w:p>
    <w:p>
      <w:pPr>
        <w:spacing w:after="0" w:line="228" w:lineRule="auto"/>
        <w:rPr>
          <w:sz w:val="20"/>
          <w:szCs w:val="20"/>
          <w:color w:val="auto"/>
        </w:rPr>
      </w:pPr>
      <w:r>
        <w:rPr>
          <w:rFonts w:ascii="Times New Roman" w:cs="Times New Roman" w:eastAsia="Times New Roman" w:hAnsi="Times New Roman"/>
          <w:sz w:val="18"/>
          <w:szCs w:val="18"/>
          <w:color w:val="auto"/>
        </w:rPr>
        <w:t>Trial 3 is a Phase II open label study utilizing commercially available Arakoda. The Company is offering an approximately three-month supply of Arakoda</w:t>
      </w:r>
    </w:p>
    <w:p>
      <w:pPr>
        <w:jc w:val="both"/>
        <w:spacing w:after="0" w:line="208" w:lineRule="auto"/>
        <w:rPr>
          <w:sz w:val="20"/>
          <w:szCs w:val="20"/>
          <w:color w:val="auto"/>
        </w:rPr>
      </w:pPr>
      <w:r>
        <w:rPr>
          <w:rFonts w:ascii="Times New Roman" w:cs="Times New Roman" w:eastAsia="Times New Roman" w:hAnsi="Times New Roman"/>
          <w:sz w:val="18"/>
          <w:szCs w:val="18"/>
          <w:color w:val="auto"/>
        </w:rPr>
        <w:t>at no cost to patients who have a clinical diagnosis of Chronic Babesiosis, are willing to submit biological samples for testing, and answer babesiosis and standardized fatigue inventories before and after treatment. The goal of this study will be to ascertain whether Arakoda treatment improves patient-reported fatigue symptoms in individuals who have symptoms of severe fatigue lasting more than six months and a diagnosis of chronic babesiosis. Secondary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 xml:space="preserve">objectives include assessing confirmable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infection rates in these populations using validated molecular assays, and assessing the safety and tolerability profile of Arakoda in this patient population. As of the date of this filing, three patients were enrolled. The study will be concluded upon the earlier of (i) 16 patients with a diagnosis of babesiosis confirmed using a FDA-licensed blood bank screening test complete the study or (ii) a maximum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patients are enrolled and complete the study. More details about the study can be found on the clinicaltrials.gov website.</w:t>
      </w:r>
      <w:r>
        <w:rPr>
          <w:rFonts w:ascii="Times New Roman" w:cs="Times New Roman" w:eastAsia="Times New Roman" w:hAnsi="Times New Roman"/>
          <w:sz w:val="24"/>
          <w:szCs w:val="24"/>
          <w:color w:val="auto"/>
          <w:vertAlign w:val="superscript"/>
        </w:rPr>
        <w:t>32</w:t>
      </w:r>
    </w:p>
    <w:p>
      <w:pPr>
        <w:spacing w:after="0" w:line="2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 May 2024, we signed a research and collaboration agreement with North Carolina State University in which the College of Veterinary Medicine will screen archived blood samples from 50 patients exhibiting symptoms consistent with chronic fatigue by PCR for the presence of Babesia spp by digital</w:t>
      </w:r>
    </w:p>
    <w:p>
      <w:pPr>
        <w:spacing w:after="0" w:line="1" w:lineRule="exact"/>
        <w:rPr>
          <w:sz w:val="20"/>
          <w:szCs w:val="20"/>
          <w:color w:val="auto"/>
        </w:rPr>
      </w:pPr>
    </w:p>
    <w:p>
      <w:pPr>
        <w:jc w:val="both"/>
        <w:ind w:right="20"/>
        <w:spacing w:after="0" w:line="207" w:lineRule="auto"/>
        <w:rPr>
          <w:sz w:val="20"/>
          <w:szCs w:val="20"/>
          <w:color w:val="auto"/>
        </w:rPr>
      </w:pPr>
      <w:r>
        <w:rPr>
          <w:rFonts w:ascii="Times New Roman" w:cs="Times New Roman" w:eastAsia="Times New Roman" w:hAnsi="Times New Roman"/>
          <w:sz w:val="18"/>
          <w:szCs w:val="18"/>
          <w:color w:val="auto"/>
        </w:rPr>
        <w:t xml:space="preserve">PCR and DNA sequencing. This work was recently published. A key finding of the study was that </w:t>
      </w:r>
      <w:r>
        <w:rPr>
          <w:rFonts w:ascii="Times New Roman" w:cs="Times New Roman" w:eastAsia="Times New Roman" w:hAnsi="Times New Roman"/>
          <w:sz w:val="18"/>
          <w:szCs w:val="18"/>
          <w:i w:val="1"/>
          <w:iCs w:val="1"/>
          <w:color w:val="auto"/>
        </w:rPr>
        <w:t>Babesia</w:t>
      </w:r>
      <w:r>
        <w:rPr>
          <w:rFonts w:ascii="Times New Roman" w:cs="Times New Roman" w:eastAsia="Times New Roman" w:hAnsi="Times New Roman"/>
          <w:sz w:val="18"/>
          <w:szCs w:val="18"/>
          <w:color w:val="auto"/>
        </w:rPr>
        <w:t xml:space="preserve"> infection was confirmed in 24% of patients.</w:t>
      </w:r>
      <w:r>
        <w:rPr>
          <w:rFonts w:ascii="Times New Roman" w:cs="Times New Roman" w:eastAsia="Times New Roman" w:hAnsi="Times New Roman"/>
          <w:sz w:val="24"/>
          <w:szCs w:val="24"/>
          <w:color w:val="auto"/>
          <w:vertAlign w:val="superscript"/>
        </w:rPr>
        <w:t>33</w:t>
      </w:r>
      <w:r>
        <w:rPr>
          <w:rFonts w:ascii="Times New Roman" w:cs="Times New Roman" w:eastAsia="Times New Roman" w:hAnsi="Times New Roman"/>
          <w:sz w:val="18"/>
          <w:szCs w:val="18"/>
          <w:color w:val="auto"/>
        </w:rPr>
        <w:t xml:space="preserve"> These data were used to set the sample size for Trial 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if the Company does not become capital-limited, and no recruitment issues are encountered, that the results of one or more of the above studies</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will come to fruition in the third quarter of 2026, potentially facilitating submission of a supplementary new drug application (or other appropriate regulatory filing) to FDA, with the goal of obtaining marketing approval of Arakoda for treatment of Babesiosis. If successful, this will allow the Company to actively market Arakoda for Babesiosis.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Tafenoquine for Veterinary Indications</w:t>
      </w:r>
    </w:p>
    <w:p>
      <w:pPr>
        <w:spacing w:after="0" w:line="14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 March 2024, we initiated, in collaboration with the North Carolina State University College of Veterinary Medicine, a pilot study of Tafenoquine for treatment of canine babesiosis in the United States under a sponsored research program. That study is now complete. Collectively, the data suggest a two</w:t>
      </w:r>
    </w:p>
    <w:p>
      <w:pPr>
        <w:spacing w:after="0" w:line="199" w:lineRule="auto"/>
        <w:rPr>
          <w:sz w:val="20"/>
          <w:szCs w:val="20"/>
          <w:color w:val="auto"/>
        </w:rPr>
      </w:pPr>
      <w:r>
        <w:rPr>
          <w:rFonts w:ascii="Times New Roman" w:cs="Times New Roman" w:eastAsia="Times New Roman" w:hAnsi="Times New Roman"/>
          <w:sz w:val="18"/>
          <w:szCs w:val="18"/>
          <w:color w:val="auto"/>
        </w:rPr>
        <w:t>dose oral treatment for acute canine babesiosis may be possible. The product has been assigned the tradename Zamvio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We believe there may be</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sufficient data to apply to the FDA for a Minor Use/Minor Species (MUMS) designation and conditional marketing approval for Zamvio</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We have been granted fee waivers on our INAD, and plan to submit a meeting request to FDA soon.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Partner for Tafenoquine for Malaria</w:t>
      </w:r>
    </w:p>
    <w:p>
      <w:pPr>
        <w:spacing w:after="0" w:line="7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Most new antimalarial treatment products are developed as drug combinations to proactively combat drug resistance. We believe that Tafenoquine, due to its long half-life and activity against all parasite species and strains, would be an ideal partner in a drug combination. Recently, Kentucky Technology Inc.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(“KTI”), completed Phase IIA studies in </w:t>
      </w:r>
      <w:r>
        <w:rPr>
          <w:rFonts w:ascii="Times New Roman" w:cs="Times New Roman" w:eastAsia="Times New Roman" w:hAnsi="Times New Roman"/>
          <w:sz w:val="18"/>
          <w:szCs w:val="18"/>
          <w:i w:val="1"/>
          <w:iCs w:val="1"/>
          <w:color w:val="auto"/>
        </w:rPr>
        <w:t>P. vivax</w:t>
      </w:r>
      <w:r>
        <w:rPr>
          <w:rFonts w:ascii="Times New Roman" w:cs="Times New Roman" w:eastAsia="Times New Roman" w:hAnsi="Times New Roman"/>
          <w:sz w:val="18"/>
          <w:szCs w:val="18"/>
          <w:color w:val="auto"/>
        </w:rPr>
        <w:t xml:space="preserve"> malaria, in which they evaluated the safety and efficacy of SJ733, their ATP4 inhibitor in combination with Tafenoquine as the combination partner drug. It was recently announced that the SJ733 development program would be partially supported by a grant from the Global Health Innovative Technology Fund (“GHIT”). As part of its shares for services agreement with KTI, the Company recently received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detailed feasibility assessment and business plan for the project, including an assessment of potential PRV eligibility. The Company has provided KTI with a right of reference to its Arakoda IND, in order to assist with regulatory approvals of forthcoming clinical trials.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Celgosivir for Antiviral Diseases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Reviewing prior studies of Celgosivir for Zika, Dengue and RSV, it is evident that the drug protects against the pathological effects of viruses through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combination of anti-inflammatory and antiviral effects. These properties suggest it might have a beneficial effect in several viral diseases. Celgosivir is synthesized from Castanospermine, which is obtained from botanical sources in low yield, making its inherent cost of goods potentially high. Castanospermine is also quite water soluble, making it amenable to intravenous formulation. As of the date of this report, we are pausing development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celgosivir until the potential commercial utility of Castanoboost</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for non-Rx applications becomes clearer.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Australian Chestnut Extract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Extensive scientific literature suggests that main molecular component of extracts of the seeds of the Australian Chestnut Tree, castanospermine, has broad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antiviral, metabolic, and immunomodulatory effects by virtue of its inhibition of glucosidases (enzymes that break down glucose containing polymers). These properties suggest that Australian Chestnut Extract may provide support to patients suffering numerous conditions. The Company has submitted a 75-day notification to the FDA that it intends to market a capsule formulation of Australian Chestnut Extract.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Post-Marketing Requirements</w:t>
      </w:r>
    </w:p>
    <w:p>
      <w:pPr>
        <w:spacing w:after="0" w:line="79"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We have an FDA post-marketing requirement to conduct a malaria prophylaxis study of Arakoda in pediatric and adolescent subjects. We proposed to the FDA, in late 2021, that this might not be safe to execute given that malaria prevention is administered to asymptomatic individuals and that</w:t>
      </w:r>
    </w:p>
    <w:p>
      <w:pPr>
        <w:spacing w:after="0" w:line="235" w:lineRule="auto"/>
        <w:rPr>
          <w:sz w:val="20"/>
          <w:szCs w:val="20"/>
          <w:color w:val="auto"/>
        </w:rPr>
      </w:pPr>
      <w:r>
        <w:rPr>
          <w:rFonts w:ascii="Times New Roman" w:cs="Times New Roman" w:eastAsia="Times New Roman" w:hAnsi="Times New Roman"/>
          <w:sz w:val="18"/>
          <w:szCs w:val="18"/>
          <w:color w:val="auto"/>
        </w:rPr>
        <w:t>methemoglobinemia (damage to the hemoglobin in blood that carries oxygen) occurred in 5% of patients, and exceeded a level of 10% in 3% of individuals</w:t>
      </w:r>
    </w:p>
    <w:p>
      <w:pPr>
        <w:spacing w:after="0" w:line="1" w:lineRule="exact"/>
        <w:rPr>
          <w:sz w:val="20"/>
          <w:szCs w:val="20"/>
          <w:color w:val="auto"/>
        </w:rPr>
      </w:pPr>
    </w:p>
    <w:p>
      <w:pPr>
        <w:jc w:val="both"/>
        <w:spacing w:after="0" w:line="194" w:lineRule="auto"/>
        <w:rPr>
          <w:sz w:val="20"/>
          <w:szCs w:val="20"/>
          <w:color w:val="auto"/>
        </w:rPr>
      </w:pPr>
      <w:r>
        <w:rPr>
          <w:rFonts w:ascii="Times New Roman" w:cs="Times New Roman" w:eastAsia="Times New Roman" w:hAnsi="Times New Roman"/>
          <w:sz w:val="18"/>
          <w:szCs w:val="18"/>
          <w:color w:val="auto"/>
        </w:rPr>
        <w:t>in a study conducted by another sponsor in pediatric subjects with symptomatic vivax malaria.</w:t>
      </w:r>
      <w:r>
        <w:rPr>
          <w:rFonts w:ascii="Times New Roman" w:cs="Times New Roman" w:eastAsia="Times New Roman" w:hAnsi="Times New Roman"/>
          <w:sz w:val="24"/>
          <w:szCs w:val="24"/>
          <w:color w:val="auto"/>
          <w:vertAlign w:val="superscript"/>
        </w:rPr>
        <w:t>34</w:t>
      </w:r>
      <w:r>
        <w:rPr>
          <w:rFonts w:ascii="Times New Roman" w:cs="Times New Roman" w:eastAsia="Times New Roman" w:hAnsi="Times New Roman"/>
          <w:sz w:val="18"/>
          <w:szCs w:val="18"/>
          <w:color w:val="auto"/>
        </w:rPr>
        <w:t xml:space="preserve"> The FDA has asked us to propose an alternate design, for which we submitted a concept protocol in the fourth quarter of 2022, and submitted a full protocol in July 2024. In 2025, FDA agreed to our proposal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 completion of this study to December 2030. We estimate the cost of conducting this study to be approximately $2 million.</w:t>
      </w:r>
    </w:p>
    <w:p>
      <w:pPr>
        <w:spacing w:after="0" w:line="165"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entry for NCT06478641 on the clinicaltrials.gov website</w:t>
      </w:r>
    </w:p>
    <w:p>
      <w:pPr>
        <w:spacing w:after="0" w:line="15" w:lineRule="exact"/>
        <w:rPr>
          <w:rFonts w:ascii="Times New Roman" w:cs="Times New Roman" w:eastAsia="Times New Roman" w:hAnsi="Times New Roman"/>
          <w:sz w:val="12"/>
          <w:szCs w:val="12"/>
          <w:color w:val="auto"/>
        </w:rPr>
      </w:pPr>
    </w:p>
    <w:p>
      <w:pPr>
        <w:ind w:left="340" w:hanging="332"/>
        <w:spacing w:after="0" w:line="234" w:lineRule="auto"/>
        <w:tabs>
          <w:tab w:leader="none" w:pos="3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entry for NCT06656351 on the clinicaltrials.gov website</w:t>
      </w:r>
    </w:p>
    <w:p>
      <w:pPr>
        <w:ind w:left="340" w:hanging="332"/>
        <w:spacing w:after="0" w:line="234" w:lineRule="auto"/>
        <w:tabs>
          <w:tab w:leader="none" w:pos="3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Breitschwerdt et al. Pathogens 2025 Dec 19;15(1):2. doi: 10.3390/pathogens15010002.</w:t>
      </w:r>
    </w:p>
    <w:p>
      <w:pPr>
        <w:ind w:left="340" w:hanging="332"/>
        <w:spacing w:after="0"/>
        <w:tabs>
          <w:tab w:leader="none" w:pos="3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Velez et al 2021 - Lancet Child Adolesc Health 2022; 6: 86–95.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-526415</wp:posOffset>
            </wp:positionV>
            <wp:extent cx="21431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w:t>
      </w:r>
    </w:p>
    <w:p>
      <w:pPr>
        <w:sectPr>
          <w:pgSz w:w="11900" w:h="16838" w:orient="portrait"/>
          <w:cols w:equalWidth="0" w:num="1">
            <w:col w:w="11240"/>
          </w:cols>
          <w:pgMar w:left="320" w:top="108" w:right="339" w:bottom="0" w:gutter="0" w:footer="0" w:header="0"/>
        </w:sectPr>
      </w:pPr>
    </w:p>
    <w:bookmarkStart w:id="11" w:name="page12"/>
    <w:bookmarkEnd w:id="11"/>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We are co-owners, with the U.S. Army, of patents in the United States and certain foreign jurisdictions directed toward use of Tafenoquine for malaria and have obtained an exclusive worldwide license from the U.S. Army to practice these inventions. We also have an exclusive worldwide license to use manufacturing information and non-clinical and clinical data that the U.S. Army possesses relating to use of Tafenoquine for all therapeutic applications and uses excluding radical cure of symptomatic vivax malaria. We have submitted patent applications in the United States and certain foreign jurisdictions for use of Tafenoquine for COVID-19, fungal lung infections, tick-borne diseases, and other infectious and non-infectious diseases in which induction of host cytokines/inflammation is a component of the disease process. The United States Patent and Trademark Office (“USPTO”) recently allowed our first COVID-19 patent for Tafenoquine. We have optioned or licensed patents involving Celgosivir for the treatment and prevention of Dengue (from the National University of Singapore), COVID-19 &amp; Zika (Florida State University), and have pending patent applications related to Celgosivir for RSV. We have optioned or own manufacturing methods related to Celgosivir. A detailed list of our intellectual property is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56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16"/>
                <w:szCs w:val="16"/>
                <w:color w:val="auto"/>
              </w:rPr>
            </w:pPr>
          </w:p>
        </w:tc>
        <w:tc>
          <w:tcPr>
            <w:tcW w:w="12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4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US Patent Date</w:t>
            </w:r>
          </w:p>
        </w:tc>
        <w:tc>
          <w:tcPr>
            <w:tcW w:w="14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460" w:type="dxa"/>
            <w:vAlign w:val="bottom"/>
            <w:gridSpan w:val="3"/>
            <w:vMerge w:val="continue"/>
          </w:tcPr>
          <w:p>
            <w:pPr>
              <w:spacing w:after="0"/>
              <w:rPr>
                <w:sz w:val="18"/>
                <w:szCs w:val="18"/>
                <w:color w:val="auto"/>
              </w:rPr>
            </w:pP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06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Dosing Regimen For Use Of Celgosivir</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2013203400</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ind w:right="53"/>
              <w:spacing w:after="0" w:line="149" w:lineRule="exact"/>
              <w:rPr>
                <w:sz w:val="20"/>
                <w:szCs w:val="20"/>
                <w:color w:val="auto"/>
              </w:rPr>
            </w:pPr>
            <w:r>
              <w:rPr>
                <w:rFonts w:ascii="Times New Roman" w:cs="Times New Roman" w:eastAsia="Times New Roman" w:hAnsi="Times New Roman"/>
                <w:sz w:val="17"/>
                <w:szCs w:val="17"/>
                <w:color w:val="auto"/>
              </w:rPr>
              <w:t>Australia</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340" w:type="dxa"/>
            <w:vAlign w:val="bottom"/>
            <w:tcBorders>
              <w:top w:val="single" w:sz="8" w:color="auto"/>
            </w:tcBorders>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2013203400+</w:t>
            </w:r>
          </w:p>
        </w:tc>
        <w:tc>
          <w:tcPr>
            <w:tcW w:w="1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10-Apr-2033*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As An Antiviral Therapeutic For</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Dengue Virus Infections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2014228035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Australia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2014228035</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320" w:type="dxa"/>
            <w:vAlign w:val="bottom"/>
            <w:gridSpan w:val="3"/>
            <w:shd w:val="clear" w:color="auto" w:fill="CCEEFF"/>
          </w:tcPr>
          <w:p>
            <w:pPr>
              <w:ind w:left="80"/>
              <w:spacing w:after="0" w:line="149" w:lineRule="exact"/>
              <w:rPr>
                <w:sz w:val="20"/>
                <w:szCs w:val="20"/>
                <w:color w:val="auto"/>
              </w:rPr>
            </w:pPr>
            <w:r>
              <w:rPr>
                <w:rFonts w:ascii="Times New Roman" w:cs="Times New Roman" w:eastAsia="Times New Roman" w:hAnsi="Times New Roman"/>
                <w:sz w:val="17"/>
                <w:szCs w:val="17"/>
                <w:color w:val="auto"/>
              </w:rPr>
              <w:t>MY-170991-A</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Malaysia</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200"/>
              <w:spacing w:after="0" w:line="149" w:lineRule="exact"/>
              <w:rPr>
                <w:sz w:val="20"/>
                <w:szCs w:val="20"/>
                <w:color w:val="auto"/>
              </w:rPr>
            </w:pPr>
            <w:r>
              <w:rPr>
                <w:rFonts w:ascii="Times New Roman" w:cs="Times New Roman" w:eastAsia="Times New Roman" w:hAnsi="Times New Roman"/>
                <w:sz w:val="17"/>
                <w:szCs w:val="17"/>
                <w:color w:val="auto"/>
              </w:rPr>
              <w:t>PI2015002372</w:t>
            </w: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378015</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Mexico</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MX/a/2015/013115</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320" w:type="dxa"/>
            <w:vAlign w:val="bottom"/>
            <w:gridSpan w:val="3"/>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11201507254V</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Singapore</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center"/>
              <w:ind w:right="180"/>
              <w:spacing w:after="0" w:line="149" w:lineRule="exact"/>
              <w:rPr>
                <w:sz w:val="20"/>
                <w:szCs w:val="20"/>
                <w:color w:val="auto"/>
              </w:rPr>
            </w:pPr>
            <w:r>
              <w:rPr>
                <w:rFonts w:ascii="Times New Roman" w:cs="Times New Roman" w:eastAsia="Times New Roman" w:hAnsi="Times New Roman"/>
                <w:sz w:val="17"/>
                <w:szCs w:val="17"/>
                <w:color w:val="auto"/>
              </w:rPr>
              <w:t>11201507254V</w:t>
            </w: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0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Singapore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7"/>
                <w:szCs w:val="17"/>
                <w:color w:val="auto"/>
              </w:rPr>
              <w:t>10201908089V</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9763921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9/19/2017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14/772,873</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Dosing Regimens Of Celgosivir</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10517854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7"/>
                <w:szCs w:val="17"/>
                <w:color w:val="auto"/>
              </w:rPr>
              <w:t>12/31/2019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15/706,845</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For The Treatment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Dosing Regimens Of Celgosivir For The</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11219616</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1/11/2022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16/725,387</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14-Mar-2034**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Treatment Of Dengue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Regimens Of Tafenoquine For</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2015358566</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Australia</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2015358566</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Malaria In Malaria-</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Naïve Subjects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Regimens Of Tafenoquine For Prevention</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2968694</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2968694</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Malaria In Malaria-Naïve Subjects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Regimens Of Tafenoquine For</w:t>
            </w:r>
          </w:p>
        </w:tc>
        <w:tc>
          <w:tcPr>
            <w:tcW w:w="12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10342791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7"/>
                <w:szCs w:val="17"/>
                <w:color w:val="auto"/>
              </w:rPr>
              <w:t>7/9/2019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15/532,280</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Malaria In Malaria-</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Naïve Subjects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Regimens Of Tafenoquine For Prevention</w:t>
            </w:r>
          </w:p>
        </w:tc>
        <w:tc>
          <w:tcPr>
            <w:tcW w:w="122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10888558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1/12/2021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16/504,533</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Malaria In Malaria-Naive Subjects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Regimens Of Tafenoquine For</w:t>
            </w:r>
          </w:p>
        </w:tc>
        <w:tc>
          <w:tcPr>
            <w:tcW w:w="13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7"/>
                <w:szCs w:val="17"/>
                <w:color w:val="auto"/>
              </w:rPr>
              <w:t>10201904908Q</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Singapore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7"/>
                <w:szCs w:val="17"/>
                <w:color w:val="auto"/>
              </w:rPr>
              <w:t>10201904908Q</w:t>
            </w: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Malaria In Malaria-</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Naïve Subjects</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Novel Regimens Of Tafenoquine For</w:t>
            </w: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15865264.4</w:t>
            </w: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Malaria In Malaria-</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Naïve Subjects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Novel Regimens Of Tafenoquine For</w:t>
            </w:r>
          </w:p>
        </w:tc>
        <w:tc>
          <w:tcPr>
            <w:tcW w:w="100" w:type="dxa"/>
            <w:vAlign w:val="bottom"/>
          </w:tcPr>
          <w:p>
            <w:pPr>
              <w:spacing w:after="0"/>
              <w:rPr>
                <w:sz w:val="12"/>
                <w:szCs w:val="12"/>
                <w:color w:val="auto"/>
              </w:rPr>
            </w:pPr>
          </w:p>
        </w:tc>
        <w:tc>
          <w:tcPr>
            <w:tcW w:w="122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7"/>
                <w:szCs w:val="17"/>
                <w:color w:val="auto"/>
              </w:rPr>
              <w:t>Hong Kong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7"/>
                <w:szCs w:val="17"/>
                <w:color w:val="auto"/>
              </w:rPr>
              <w:t>18103081.4</w:t>
            </w:r>
          </w:p>
        </w:tc>
        <w:tc>
          <w:tcPr>
            <w:tcW w:w="12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02-Dec-2035*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Malaria In Malaria-</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Naïve Subjects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0" w:type="dxa"/>
            <w:vAlign w:val="bottom"/>
            <w:tcBorders>
              <w:bottom w:val="single" w:sz="8" w:color="9A9A9A"/>
            </w:tcBorders>
          </w:tcPr>
          <w:p>
            <w:pPr>
              <w:spacing w:after="0"/>
              <w:rPr>
                <w:sz w:val="19"/>
                <w:szCs w:val="19"/>
                <w:color w:val="auto"/>
              </w:rPr>
            </w:pPr>
          </w:p>
        </w:tc>
        <w:tc>
          <w:tcPr>
            <w:tcW w:w="25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369"/>
        </w:trPr>
        <w:tc>
          <w:tcPr>
            <w:tcW w:w="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15"/>
                <w:szCs w:val="15"/>
                <w:color w:val="auto"/>
              </w:rPr>
            </w:pP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vMerge w:val="restart"/>
          </w:tcPr>
          <w:p>
            <w:pPr>
              <w:jc w:val="center"/>
              <w:ind w:left="12"/>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US Patent Date</w:t>
            </w: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80" w:type="dxa"/>
            <w:vAlign w:val="bottom"/>
            <w:gridSpan w:val="4"/>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line="202"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60" w:type="dxa"/>
            <w:vAlign w:val="bottom"/>
            <w:tcBorders>
              <w:top w:val="single" w:sz="8" w:color="auto"/>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Regimens Of Tafenoquine For Prevention</w:t>
            </w: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jc w:val="center"/>
              <w:ind w:left="32"/>
              <w:spacing w:after="0" w:line="157" w:lineRule="exact"/>
              <w:rPr>
                <w:sz w:val="20"/>
                <w:szCs w:val="20"/>
                <w:color w:val="auto"/>
              </w:rPr>
            </w:pPr>
            <w:r>
              <w:rPr>
                <w:rFonts w:ascii="Times New Roman" w:cs="Times New Roman" w:eastAsia="Times New Roman" w:hAnsi="Times New Roman"/>
                <w:sz w:val="18"/>
                <w:szCs w:val="18"/>
                <w:color w:val="auto"/>
                <w:w w:val="98"/>
              </w:rPr>
              <w:t>11,744,828</w:t>
            </w: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10"/>
              <w:spacing w:after="0" w:line="157" w:lineRule="exact"/>
              <w:rPr>
                <w:sz w:val="20"/>
                <w:szCs w:val="20"/>
                <w:color w:val="auto"/>
              </w:rPr>
            </w:pPr>
            <w:r>
              <w:rPr>
                <w:rFonts w:ascii="Times New Roman" w:cs="Times New Roman" w:eastAsia="Times New Roman" w:hAnsi="Times New Roman"/>
                <w:sz w:val="18"/>
                <w:szCs w:val="18"/>
                <w:color w:val="auto"/>
              </w:rPr>
              <w:t>9/5/2023</w:t>
            </w: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17/145,530</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02-Dec-2035**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Malaria In Mal2aria-Naive Subjects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Novel Regimens Of Tafenoquine For</w:t>
            </w:r>
          </w:p>
        </w:tc>
        <w:tc>
          <w:tcPr>
            <w:tcW w:w="1220" w:type="dxa"/>
            <w:vAlign w:val="bottom"/>
            <w:gridSpan w:val="2"/>
          </w:tcPr>
          <w:p>
            <w:pPr>
              <w:jc w:val="center"/>
              <w:ind w:left="114"/>
              <w:spacing w:after="0" w:line="157" w:lineRule="exact"/>
              <w:rPr>
                <w:sz w:val="20"/>
                <w:szCs w:val="20"/>
                <w:color w:val="auto"/>
              </w:rPr>
            </w:pPr>
            <w:r>
              <w:rPr>
                <w:rFonts w:ascii="Times New Roman" w:cs="Times New Roman" w:eastAsia="Times New Roman" w:hAnsi="Times New Roman"/>
                <w:sz w:val="18"/>
                <w:szCs w:val="18"/>
                <w:color w:val="auto"/>
                <w:w w:val="99"/>
              </w:rPr>
              <w:t>731813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New Zealand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w w:val="99"/>
              </w:rPr>
              <w:t>731813</w:t>
            </w:r>
          </w:p>
        </w:tc>
        <w:tc>
          <w:tcPr>
            <w:tcW w:w="12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02-Dec-2035*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Malaria In Malaria-Naïve</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rPr>
              <w:t>Subjects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Regimens of Tafenoquine for Prevention of</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0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left="12"/>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rPr>
              <w:t>18/240,049</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02-Dec-2035**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Malaria in Malaria-Naive Subjects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Novel Dosing Regimens Of Celgosivir For</w:t>
            </w:r>
          </w:p>
        </w:tc>
        <w:tc>
          <w:tcPr>
            <w:tcW w:w="1220" w:type="dxa"/>
            <w:vAlign w:val="bottom"/>
            <w:gridSpan w:val="2"/>
          </w:tcPr>
          <w:p>
            <w:pPr>
              <w:jc w:val="center"/>
              <w:ind w:left="114"/>
              <w:spacing w:after="0" w:line="157" w:lineRule="exact"/>
              <w:rPr>
                <w:sz w:val="20"/>
                <w:szCs w:val="20"/>
                <w:color w:val="auto"/>
              </w:rPr>
            </w:pPr>
            <w:r>
              <w:rPr>
                <w:rFonts w:ascii="Times New Roman" w:cs="Times New Roman" w:eastAsia="Times New Roman" w:hAnsi="Times New Roman"/>
                <w:sz w:val="18"/>
                <w:szCs w:val="18"/>
                <w:color w:val="auto"/>
                <w:w w:val="99"/>
              </w:rPr>
              <w:t>2016368580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Australia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w w:val="99"/>
              </w:rPr>
              <w:t>2016368580</w:t>
            </w:r>
          </w:p>
        </w:tc>
        <w:tc>
          <w:tcPr>
            <w:tcW w:w="12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09-Dec-2036*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The Prevention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Novel Dosing Regimens Of Celgosivir For</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0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8"/>
              </w:rPr>
              <w:t>Singapore</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left="12"/>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right="140"/>
              <w:spacing w:after="0" w:line="157" w:lineRule="exact"/>
              <w:rPr>
                <w:sz w:val="20"/>
                <w:szCs w:val="20"/>
                <w:color w:val="auto"/>
              </w:rPr>
            </w:pPr>
            <w:r>
              <w:rPr>
                <w:rFonts w:ascii="Times New Roman" w:cs="Times New Roman" w:eastAsia="Times New Roman" w:hAnsi="Times New Roman"/>
                <w:sz w:val="18"/>
                <w:szCs w:val="18"/>
                <w:color w:val="auto"/>
                <w:w w:val="99"/>
              </w:rPr>
              <w:t>10201912141Y</w:t>
            </w: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09-Dec-2036*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Prevention Of Dengue</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Dosing Regimens Of Celgosivir For The</w:t>
            </w:r>
          </w:p>
        </w:tc>
        <w:tc>
          <w:tcPr>
            <w:tcW w:w="1220" w:type="dxa"/>
            <w:vAlign w:val="bottom"/>
            <w:gridSpan w:val="2"/>
          </w:tcPr>
          <w:p>
            <w:pPr>
              <w:jc w:val="center"/>
              <w:ind w:left="134"/>
              <w:spacing w:after="0" w:line="157" w:lineRule="exact"/>
              <w:rPr>
                <w:sz w:val="20"/>
                <w:szCs w:val="20"/>
                <w:color w:val="auto"/>
              </w:rPr>
            </w:pPr>
            <w:r>
              <w:rPr>
                <w:rFonts w:ascii="Times New Roman" w:cs="Times New Roman" w:eastAsia="Times New Roman" w:hAnsi="Times New Roman"/>
                <w:sz w:val="18"/>
                <w:szCs w:val="18"/>
                <w:color w:val="auto"/>
                <w:w w:val="99"/>
              </w:rPr>
              <w:t>11000516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tcPr>
          <w:p>
            <w:pPr>
              <w:jc w:val="right"/>
              <w:spacing w:after="0" w:line="157" w:lineRule="exact"/>
              <w:rPr>
                <w:sz w:val="20"/>
                <w:szCs w:val="20"/>
                <w:color w:val="auto"/>
              </w:rPr>
            </w:pPr>
            <w:r>
              <w:rPr>
                <w:rFonts w:ascii="Times New Roman" w:cs="Times New Roman" w:eastAsia="Times New Roman" w:hAnsi="Times New Roman"/>
                <w:sz w:val="18"/>
                <w:szCs w:val="18"/>
                <w:color w:val="auto"/>
              </w:rPr>
              <w:t>5/11/2021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rPr>
              <w:t>16/060,945</w:t>
            </w:r>
          </w:p>
        </w:tc>
        <w:tc>
          <w:tcPr>
            <w:tcW w:w="12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09-Dec-2036**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Prevention Of Dengue</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30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4"/>
              </w:rPr>
              <w:t>EP</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left="12"/>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rPr>
              <w:t>21764438.4</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By</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Administration Of Tafenoquine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Methods For Treating And Preventing</w:t>
            </w:r>
          </w:p>
        </w:tc>
        <w:tc>
          <w:tcPr>
            <w:tcW w:w="100" w:type="dxa"/>
            <w:vAlign w:val="bottom"/>
          </w:tcPr>
          <w:p>
            <w:pPr>
              <w:spacing w:after="0"/>
              <w:rPr>
                <w:sz w:val="13"/>
                <w:szCs w:val="13"/>
                <w:color w:val="auto"/>
              </w:rPr>
            </w:pPr>
          </w:p>
        </w:tc>
        <w:tc>
          <w:tcPr>
            <w:tcW w:w="1220" w:type="dxa"/>
            <w:vAlign w:val="bottom"/>
            <w:gridSpan w:val="2"/>
          </w:tcPr>
          <w:p>
            <w:pPr>
              <w:jc w:val="right"/>
              <w:ind w:right="30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8"/>
                <w:szCs w:val="18"/>
                <w:color w:val="auto"/>
              </w:rPr>
              <w:t>China</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left="12"/>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rPr>
              <w:t>202180029643.7</w:t>
            </w:r>
          </w:p>
        </w:tc>
        <w:tc>
          <w:tcPr>
            <w:tcW w:w="12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8"/>
                <w:szCs w:val="18"/>
                <w:color w:val="auto"/>
              </w:rPr>
              <w:t>Pulmonary Infections By Administering</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rPr>
              <w:t>Tafenoquine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220" w:type="dxa"/>
            <w:vAlign w:val="bottom"/>
            <w:gridSpan w:val="2"/>
            <w:shd w:val="clear" w:color="auto" w:fill="CCEEFF"/>
          </w:tcPr>
          <w:p>
            <w:pPr>
              <w:jc w:val="center"/>
              <w:ind w:left="114"/>
              <w:spacing w:after="0" w:line="157" w:lineRule="exact"/>
              <w:rPr>
                <w:sz w:val="20"/>
                <w:szCs w:val="20"/>
                <w:color w:val="auto"/>
              </w:rPr>
            </w:pPr>
            <w:r>
              <w:rPr>
                <w:rFonts w:ascii="Times New Roman" w:cs="Times New Roman" w:eastAsia="Times New Roman" w:hAnsi="Times New Roman"/>
                <w:sz w:val="18"/>
                <w:szCs w:val="18"/>
                <w:color w:val="auto"/>
                <w:w w:val="99"/>
              </w:rPr>
              <w:t>2021231743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Australia</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center"/>
              <w:ind w:left="34"/>
              <w:spacing w:after="0" w:line="157" w:lineRule="exact"/>
              <w:rPr>
                <w:sz w:val="20"/>
                <w:szCs w:val="20"/>
                <w:color w:val="auto"/>
              </w:rPr>
            </w:pPr>
            <w:r>
              <w:rPr>
                <w:rFonts w:ascii="Times New Roman" w:cs="Times New Roman" w:eastAsia="Times New Roman" w:hAnsi="Times New Roman"/>
                <w:sz w:val="18"/>
                <w:szCs w:val="18"/>
                <w:color w:val="auto"/>
                <w:w w:val="99"/>
              </w:rPr>
              <w:t>2021231743</w:t>
            </w:r>
          </w:p>
        </w:tc>
        <w:tc>
          <w:tcPr>
            <w:tcW w:w="12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By Gram-Positive Bacteria, Fungus, Or</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9"/>
              </w:rPr>
              <w:t>Virus By Administration Of Tafenoquine</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180" w:type="dxa"/>
            <w:vAlign w:val="bottom"/>
            <w:gridSpan w:val="4"/>
          </w:tcPr>
          <w:p>
            <w:pPr>
              <w:spacing w:after="0" w:line="17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00" w:type="dxa"/>
            <w:vAlign w:val="bottom"/>
          </w:tcPr>
          <w:p>
            <w:pPr>
              <w:spacing w:after="0"/>
              <w:rPr>
                <w:sz w:val="15"/>
                <w:szCs w:val="15"/>
                <w:color w:val="auto"/>
              </w:rPr>
            </w:pPr>
          </w:p>
        </w:tc>
        <w:tc>
          <w:tcPr>
            <w:tcW w:w="1220" w:type="dxa"/>
            <w:vAlign w:val="bottom"/>
            <w:gridSpan w:val="2"/>
          </w:tcPr>
          <w:p>
            <w:pPr>
              <w:jc w:val="right"/>
              <w:ind w:right="300"/>
              <w:spacing w:after="0" w:line="177" w:lineRule="exact"/>
              <w:rPr>
                <w:sz w:val="20"/>
                <w:szCs w:val="20"/>
                <w:color w:val="auto"/>
              </w:rPr>
            </w:pPr>
            <w:r>
              <w:rPr>
                <w:rFonts w:ascii="Times New Roman" w:cs="Times New Roman" w:eastAsia="Times New Roman" w:hAnsi="Times New Roman"/>
                <w:sz w:val="18"/>
                <w:szCs w:val="18"/>
                <w:color w:val="auto"/>
              </w:rPr>
              <w:t>Pending</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Hong Kong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left="12"/>
              <w:spacing w:after="0" w:line="177" w:lineRule="exact"/>
              <w:rPr>
                <w:sz w:val="20"/>
                <w:szCs w:val="20"/>
                <w:color w:val="auto"/>
              </w:rPr>
            </w:pPr>
            <w:r>
              <w:rPr>
                <w:rFonts w:ascii="Times New Roman" w:cs="Times New Roman" w:eastAsia="Times New Roman" w:hAnsi="Times New Roman"/>
                <w:sz w:val="18"/>
                <w:szCs w:val="18"/>
                <w:color w:val="auto"/>
              </w:rPr>
              <w:t>Pending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ind w:left="34"/>
              <w:spacing w:after="0" w:line="177" w:lineRule="exact"/>
              <w:rPr>
                <w:sz w:val="20"/>
                <w:szCs w:val="20"/>
                <w:color w:val="auto"/>
              </w:rPr>
            </w:pPr>
            <w:r>
              <w:rPr>
                <w:rFonts w:ascii="Times New Roman" w:cs="Times New Roman" w:eastAsia="Times New Roman" w:hAnsi="Times New Roman"/>
                <w:sz w:val="18"/>
                <w:szCs w:val="18"/>
                <w:color w:val="auto"/>
              </w:rPr>
              <w:t>62023078645.6</w:t>
            </w:r>
          </w:p>
        </w:tc>
        <w:tc>
          <w:tcPr>
            <w:tcW w:w="120" w:type="dxa"/>
            <w:vAlign w:val="bottom"/>
          </w:tcPr>
          <w:p>
            <w:pPr>
              <w:spacing w:after="0"/>
              <w:rPr>
                <w:sz w:val="15"/>
                <w:szCs w:val="15"/>
                <w:color w:val="auto"/>
              </w:rPr>
            </w:pPr>
          </w:p>
        </w:tc>
        <w:tc>
          <w:tcPr>
            <w:tcW w:w="12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-3390900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-3390900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Prevention Of Lung Infections Caused</w:t>
      </w:r>
    </w:p>
    <w:p>
      <w:pPr>
        <w:sectPr>
          <w:pgSz w:w="11900" w:h="16838" w:orient="portrait"/>
          <w:cols w:equalWidth="0" w:num="1">
            <w:col w:w="11260"/>
          </w:cols>
          <w:pgMar w:left="320" w:top="121" w:right="319" w:bottom="0" w:gutter="0" w:footer="0" w:header="0"/>
        </w:sectPr>
      </w:pPr>
    </w:p>
    <w:bookmarkStart w:id="12" w:name="page13"/>
    <w:bookmarkEnd w:id="1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By Gram-Positive Bacteria, Fungus, Or</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w w:val="99"/>
              </w:rPr>
              <w:t>Virus By Administration Of Tafenoquine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20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8"/>
                <w:szCs w:val="18"/>
                <w:color w:val="auto"/>
              </w:rPr>
              <w:t>11,633,391</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ind w:left="600"/>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72"/>
              <w:spacing w:after="0" w:line="157" w:lineRule="exact"/>
              <w:rPr>
                <w:sz w:val="20"/>
                <w:szCs w:val="20"/>
                <w:color w:val="auto"/>
              </w:rPr>
            </w:pPr>
            <w:r>
              <w:rPr>
                <w:rFonts w:ascii="Times New Roman" w:cs="Times New Roman" w:eastAsia="Times New Roman" w:hAnsi="Times New Roman"/>
                <w:sz w:val="18"/>
                <w:szCs w:val="18"/>
                <w:color w:val="auto"/>
              </w:rPr>
              <w:t>4/25/2023</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17/189,544</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31-May-2041**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By Gram-Positive Bacteria, Fungus, Or</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w w:val="99"/>
              </w:rPr>
              <w:t>Virus By Administration Of Tafenoquine</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360" w:type="dxa"/>
            <w:vAlign w:val="bottom"/>
            <w:gridSpan w:val="2"/>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960" w:type="dxa"/>
            <w:vAlign w:val="bottom"/>
          </w:tcPr>
          <w:p>
            <w:pPr>
              <w:ind w:left="600"/>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18/300,805</w:t>
            </w:r>
          </w:p>
        </w:tc>
        <w:tc>
          <w:tcPr>
            <w:tcW w:w="16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By Gram-Positive Bacteria, Fungus, Or</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w w:val="99"/>
              </w:rPr>
              <w:t>Virus By Administration Of Tafenoquine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200" w:type="dxa"/>
            <w:vAlign w:val="bottom"/>
            <w:shd w:val="clear" w:color="auto" w:fill="CCEEFF"/>
          </w:tcPr>
          <w:p>
            <w:pPr>
              <w:jc w:val="right"/>
              <w:ind w:right="34"/>
              <w:spacing w:after="0" w:line="157" w:lineRule="exact"/>
              <w:rPr>
                <w:sz w:val="20"/>
                <w:szCs w:val="20"/>
                <w:color w:val="auto"/>
              </w:rPr>
            </w:pPr>
            <w:r>
              <w:rPr>
                <w:rFonts w:ascii="Times New Roman" w:cs="Times New Roman" w:eastAsia="Times New Roman" w:hAnsi="Times New Roman"/>
                <w:sz w:val="18"/>
                <w:szCs w:val="18"/>
                <w:color w:val="auto"/>
              </w:rPr>
              <w:t>12383546</w:t>
            </w: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ind w:left="600"/>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72"/>
              <w:spacing w:after="0" w:line="157" w:lineRule="exact"/>
              <w:rPr>
                <w:sz w:val="20"/>
                <w:szCs w:val="20"/>
                <w:color w:val="auto"/>
              </w:rPr>
            </w:pPr>
            <w:r>
              <w:rPr>
                <w:rFonts w:ascii="Times New Roman" w:cs="Times New Roman" w:eastAsia="Times New Roman" w:hAnsi="Times New Roman"/>
                <w:sz w:val="18"/>
                <w:szCs w:val="18"/>
                <w:color w:val="auto"/>
              </w:rPr>
              <w:t>8/12/2025</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17/683,679</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By Fungus By Administration Of</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Tafenoquine</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360" w:type="dxa"/>
            <w:vAlign w:val="bottom"/>
            <w:gridSpan w:val="2"/>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960" w:type="dxa"/>
            <w:vAlign w:val="bottom"/>
          </w:tcPr>
          <w:p>
            <w:pPr>
              <w:ind w:left="600"/>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rPr>
              <w:t>17/683,718</w:t>
            </w:r>
          </w:p>
        </w:tc>
        <w:tc>
          <w:tcPr>
            <w:tcW w:w="160" w:type="dxa"/>
            <w:vAlign w:val="bottom"/>
          </w:tcPr>
          <w:p>
            <w:pPr>
              <w:spacing w:after="0"/>
              <w:rPr>
                <w:sz w:val="13"/>
                <w:szCs w:val="13"/>
                <w:color w:val="auto"/>
              </w:rPr>
            </w:pPr>
          </w:p>
        </w:tc>
        <w:tc>
          <w:tcPr>
            <w:tcW w:w="1220" w:type="dxa"/>
            <w:vAlign w:val="bottom"/>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By Sars-Cov-2 Virus By Administration</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tcPr>
          <w:p>
            <w:pPr>
              <w:ind w:left="180"/>
              <w:spacing w:after="0" w:line="202" w:lineRule="exact"/>
              <w:rPr>
                <w:sz w:val="20"/>
                <w:szCs w:val="20"/>
                <w:color w:val="auto"/>
              </w:rPr>
            </w:pPr>
            <w:r>
              <w:rPr>
                <w:rFonts w:ascii="Times New Roman" w:cs="Times New Roman" w:eastAsia="Times New Roman" w:hAnsi="Times New Roman"/>
                <w:sz w:val="18"/>
                <w:szCs w:val="18"/>
                <w:color w:val="auto"/>
              </w:rPr>
              <w:t>Of Tafenoquine</w:t>
            </w: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318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360" w:type="dxa"/>
            <w:vAlign w:val="bottom"/>
            <w:gridSpan w:val="2"/>
            <w:shd w:val="clear" w:color="auto" w:fill="CCEEFF"/>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960" w:type="dxa"/>
            <w:vAlign w:val="bottom"/>
            <w:shd w:val="clear" w:color="auto" w:fill="CCEEFF"/>
          </w:tcPr>
          <w:p>
            <w:pPr>
              <w:ind w:left="600"/>
              <w:spacing w:after="0" w:line="157" w:lineRule="exact"/>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ind w:left="420"/>
              <w:spacing w:after="0" w:line="157" w:lineRule="exact"/>
              <w:rPr>
                <w:sz w:val="20"/>
                <w:szCs w:val="20"/>
                <w:color w:val="auto"/>
              </w:rPr>
            </w:pPr>
            <w:r>
              <w:rPr>
                <w:rFonts w:ascii="Times New Roman" w:cs="Times New Roman" w:eastAsia="Times New Roman" w:hAnsi="Times New Roman"/>
                <w:sz w:val="18"/>
                <w:szCs w:val="18"/>
                <w:color w:val="auto"/>
              </w:rPr>
              <w:t>Pending</w:t>
            </w:r>
          </w:p>
        </w:tc>
        <w:tc>
          <w:tcPr>
            <w:tcW w:w="1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rPr>
              <w:t>19/294531</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center"/>
              <w:spacing w:after="0" w:line="157" w:lineRule="exact"/>
              <w:rPr>
                <w:sz w:val="20"/>
                <w:szCs w:val="20"/>
                <w:color w:val="auto"/>
              </w:rPr>
            </w:pPr>
            <w:r>
              <w:rPr>
                <w:rFonts w:ascii="Times New Roman" w:cs="Times New Roman" w:eastAsia="Times New Roman" w:hAnsi="Times New Roman"/>
                <w:sz w:val="18"/>
                <w:szCs w:val="18"/>
                <w:color w:val="auto"/>
                <w:w w:val="99"/>
              </w:rPr>
              <w:t>02-Mar-2041**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180" w:type="dxa"/>
            <w:vAlign w:val="bottom"/>
            <w:gridSpan w:val="4"/>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Prevention Of Lung Infections Caused</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By Fungus By Administration Of</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80" w:type="dxa"/>
            <w:vAlign w:val="bottom"/>
            <w:gridSpan w:val="4"/>
            <w:shd w:val="clear" w:color="auto" w:fill="CCEEFF"/>
          </w:tcPr>
          <w:p>
            <w:pPr>
              <w:ind w:left="180"/>
              <w:spacing w:after="0" w:line="202" w:lineRule="exact"/>
              <w:rPr>
                <w:sz w:val="20"/>
                <w:szCs w:val="20"/>
                <w:color w:val="auto"/>
              </w:rPr>
            </w:pPr>
            <w:r>
              <w:rPr>
                <w:rFonts w:ascii="Times New Roman" w:cs="Times New Roman" w:eastAsia="Times New Roman" w:hAnsi="Times New Roman"/>
                <w:sz w:val="18"/>
                <w:szCs w:val="18"/>
                <w:color w:val="auto"/>
              </w:rPr>
              <w:t>Tafenoquine</w:t>
            </w: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10"/>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3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Patent No.</w:t>
            </w:r>
          </w:p>
        </w:tc>
        <w:tc>
          <w:tcPr>
            <w:tcW w:w="960" w:type="dxa"/>
            <w:vAlign w:val="bottom"/>
            <w:vMerge w:val="restart"/>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US Patent Date</w:t>
            </w: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80" w:type="dxa"/>
            <w:vAlign w:val="bottom"/>
            <w:gridSpan w:val="4"/>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02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Treatment Of Human Coronavirus</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154"/>
              <w:spacing w:after="0" w:line="149" w:lineRule="exact"/>
              <w:rPr>
                <w:sz w:val="20"/>
                <w:szCs w:val="20"/>
                <w:color w:val="auto"/>
              </w:rPr>
            </w:pPr>
            <w:r>
              <w:rPr>
                <w:rFonts w:ascii="Times New Roman" w:cs="Times New Roman" w:eastAsia="Times New Roman" w:hAnsi="Times New Roman"/>
                <w:sz w:val="17"/>
                <w:szCs w:val="17"/>
                <w:color w:val="auto"/>
              </w:rPr>
              <w:t>11369592</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6/28/2022</w:t>
            </w: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17/180,140#</w:t>
            </w: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19-Feb-2041**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Infections Using Alpha-Glucosidase</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Glycoprotein Processing Inhibitors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Treatment Of Human Coronavirus</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17/664,693#</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19-Feb-2041**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Infections Using Alpha-Glucosidase</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Glycoprotein Processing Inhibitors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Treatment Of Human Coronavirus</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2021757552#</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19-Feb-2041*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Infections Using Alpha-Glucosidase</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Glycoprotein Processing Inhibitors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To Treat Respiratory Infection</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74"/>
              <w:spacing w:after="0" w:line="149" w:lineRule="exact"/>
              <w:rPr>
                <w:sz w:val="20"/>
                <w:szCs w:val="20"/>
                <w:color w:val="auto"/>
              </w:rPr>
            </w:pPr>
            <w:r>
              <w:rPr>
                <w:rFonts w:ascii="Times New Roman" w:cs="Times New Roman" w:eastAsia="Times New Roman" w:hAnsi="Times New Roman"/>
                <w:sz w:val="17"/>
                <w:szCs w:val="17"/>
                <w:color w:val="auto"/>
              </w:rPr>
              <w:t>Australia</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2023304186</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05-Jul-2043*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Utilizing Castanospermine Analogs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To Treat Respiratory Infection</w:t>
            </w:r>
          </w:p>
        </w:tc>
        <w:tc>
          <w:tcPr>
            <w:tcW w:w="1200" w:type="dxa"/>
            <w:vAlign w:val="bottom"/>
            <w:shd w:val="clear" w:color="auto" w:fill="CCEEFF"/>
          </w:tcPr>
          <w:p>
            <w:pPr>
              <w:jc w:val="right"/>
              <w:ind w:right="114"/>
              <w:spacing w:after="0" w:line="149" w:lineRule="exact"/>
              <w:rPr>
                <w:sz w:val="20"/>
                <w:szCs w:val="20"/>
                <w:color w:val="auto"/>
              </w:rPr>
            </w:pPr>
            <w:r>
              <w:rPr>
                <w:rFonts w:ascii="Times New Roman" w:cs="Times New Roman" w:eastAsia="Times New Roman" w:hAnsi="Times New Roman"/>
                <w:sz w:val="17"/>
                <w:szCs w:val="17"/>
                <w:color w:val="auto"/>
              </w:rPr>
              <w:t>12,569,473</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3/10/2026</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18/218,202</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05-Jul-2043**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Utilizing Castanospermine Analogs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To Treat Respiratory Infection</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i w:val="1"/>
                <w:iCs w:val="1"/>
                <w:color w:val="auto"/>
              </w:rPr>
              <w:t>China</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202380053343.1</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05-Jul-2043*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Utilizing Castanospermine Analogs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To Treat Respiratory Infection</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23836044.4</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05-Jul-2043*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Utilizing Castanospermine Analogs</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To Treat Respiratory Infection</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i w:val="1"/>
                <w:iCs w:val="1"/>
                <w:color w:val="auto"/>
              </w:rPr>
              <w:t>Canada</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3261048</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05-Jul-2043*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Utilizing Castanospermine Analogs</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18/375,070</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30-Sep-2043**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Diseases Or Infections</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gridSpan w:val="4"/>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With MCP-1 Involvement By</w:t>
            </w: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Administration Of Tafenoquine</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18/640,611</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74"/>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3289679</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China</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202480041674.8</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24793579.4</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Japan</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2025-561977</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18/640,657</w:t>
            </w: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74"/>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3289735</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80" w:type="dxa"/>
            <w:vAlign w:val="bottom"/>
            <w:gridSpan w:val="4"/>
          </w:tcPr>
          <w:p>
            <w:pPr>
              <w:ind w:left="180"/>
              <w:spacing w:after="0" w:line="176"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0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3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Estimated/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12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Anticipated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1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Patent No.</w:t>
            </w:r>
          </w:p>
        </w:tc>
        <w:tc>
          <w:tcPr>
            <w:tcW w:w="960" w:type="dxa"/>
            <w:vAlign w:val="bottom"/>
            <w:vMerge w:val="restart"/>
          </w:tcPr>
          <w:p>
            <w:pPr>
              <w:jc w:val="center"/>
              <w:ind w:left="154"/>
              <w:spacing w:after="0"/>
              <w:rPr>
                <w:sz w:val="20"/>
                <w:szCs w:val="20"/>
                <w:color w:val="auto"/>
              </w:rPr>
            </w:pPr>
            <w:r>
              <w:rPr>
                <w:rFonts w:ascii="Times New Roman" w:cs="Times New Roman" w:eastAsia="Times New Roman" w:hAnsi="Times New Roman"/>
                <w:sz w:val="18"/>
                <w:szCs w:val="18"/>
                <w:b w:val="1"/>
                <w:bCs w:val="1"/>
                <w:color w:val="auto"/>
                <w:w w:val="98"/>
              </w:rPr>
              <w:t>Country</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3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US Patent Date</w:t>
            </w:r>
          </w:p>
        </w:tc>
        <w:tc>
          <w:tcPr>
            <w:tcW w:w="1380" w:type="dxa"/>
            <w:vAlign w:val="bottom"/>
            <w:gridSpan w:val="2"/>
            <w:vMerge w:val="continue"/>
          </w:tcPr>
          <w:p>
            <w:pPr>
              <w:spacing w:after="0"/>
              <w:rPr>
                <w:sz w:val="16"/>
                <w:szCs w:val="16"/>
                <w:color w:val="auto"/>
              </w:rPr>
            </w:pPr>
          </w:p>
        </w:tc>
        <w:tc>
          <w:tcPr>
            <w:tcW w:w="12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Expiration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180" w:type="dxa"/>
            <w:vAlign w:val="bottom"/>
            <w:gridSpan w:val="4"/>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80" w:type="dxa"/>
            <w:vAlign w:val="bottom"/>
            <w:gridSpan w:val="2"/>
          </w:tcPr>
          <w:p>
            <w:pPr>
              <w:jc w:val="center"/>
              <w:ind w:right="160"/>
              <w:spacing w:after="0" w:line="202" w:lineRule="exact"/>
              <w:rPr>
                <w:sz w:val="20"/>
                <w:szCs w:val="20"/>
                <w:color w:val="auto"/>
              </w:rPr>
            </w:pPr>
            <w:r>
              <w:rPr>
                <w:rFonts w:ascii="Times New Roman" w:cs="Times New Roman" w:eastAsia="Times New Roman" w:hAnsi="Times New Roman"/>
                <w:sz w:val="18"/>
                <w:szCs w:val="18"/>
                <w:b w:val="1"/>
                <w:bCs w:val="1"/>
                <w:color w:val="auto"/>
                <w:w w:val="97"/>
              </w:rPr>
              <w:t>No.</w:t>
            </w:r>
          </w:p>
        </w:tc>
        <w:tc>
          <w:tcPr>
            <w:tcW w:w="1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300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6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China</w:t>
            </w: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80" w:type="dxa"/>
            <w:vAlign w:val="bottom"/>
            <w:tcBorders>
              <w:top w:val="single" w:sz="8" w:color="CCEEFF"/>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National Phase</w:t>
            </w:r>
          </w:p>
        </w:tc>
        <w:tc>
          <w:tcPr>
            <w:tcW w:w="16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160"/>
              <w:spacing w:after="0" w:line="184" w:lineRule="exact"/>
              <w:rPr>
                <w:sz w:val="20"/>
                <w:szCs w:val="20"/>
                <w:color w:val="auto"/>
              </w:rPr>
            </w:pPr>
            <w:r>
              <w:rPr>
                <w:rFonts w:ascii="Times New Roman" w:cs="Times New Roman" w:eastAsia="Times New Roman" w:hAnsi="Times New Roman"/>
                <w:sz w:val="18"/>
                <w:szCs w:val="18"/>
                <w:color w:val="auto"/>
                <w:w w:val="93"/>
              </w:rPr>
              <w:t>of</w:t>
            </w:r>
          </w:p>
        </w:tc>
        <w:tc>
          <w:tcPr>
            <w:tcW w:w="1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PCT/24/025458</w:t>
            </w: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80" w:type="dxa"/>
            <w:vAlign w:val="bottom"/>
            <w:gridSpan w:val="4"/>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3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960" w:type="dxa"/>
            <w:vAlign w:val="bottom"/>
          </w:tcPr>
          <w:p>
            <w:pPr>
              <w:jc w:val="center"/>
              <w:ind w:left="154"/>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24793592.7</w:t>
            </w:r>
          </w:p>
        </w:tc>
        <w:tc>
          <w:tcPr>
            <w:tcW w:w="1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180" w:type="dxa"/>
            <w:vAlign w:val="bottom"/>
            <w:gridSpan w:val="4"/>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1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Methods For The Treatment And</w:t>
            </w:r>
          </w:p>
        </w:tc>
        <w:tc>
          <w:tcPr>
            <w:tcW w:w="136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8"/>
              </w:rPr>
              <w:t>Pending</w:t>
            </w:r>
          </w:p>
        </w:tc>
        <w:tc>
          <w:tcPr>
            <w:tcW w:w="960" w:type="dxa"/>
            <w:vAlign w:val="bottom"/>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7"/>
              </w:rPr>
              <w:t>Japan</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Pending</w:t>
            </w:r>
          </w:p>
        </w:tc>
        <w:tc>
          <w:tcPr>
            <w:tcW w:w="1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2025-561995</w:t>
            </w: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19-Apr-2044*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30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-7638415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-7638415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7132955</wp:posOffset>
            </wp:positionH>
            <wp:positionV relativeFrom="paragraph">
              <wp:posOffset>-1492250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-1492250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260"/>
          </w:cols>
          <w:pgMar w:left="320" w:top="81" w:right="319" w:bottom="0" w:gutter="0" w:footer="0" w:header="0"/>
        </w:sectPr>
      </w:pPr>
    </w:p>
    <w:bookmarkStart w:id="13" w:name="page14"/>
    <w:bookmarkEnd w:id="13"/>
    <w:p>
      <w:pPr>
        <w:ind w:left="180"/>
        <w:spacing w:after="0"/>
        <w:rPr>
          <w:sz w:val="20"/>
          <w:szCs w:val="20"/>
          <w:color w:val="auto"/>
        </w:rPr>
      </w:pPr>
      <w:r>
        <w:rPr>
          <w:rFonts w:ascii="Times New Roman" w:cs="Times New Roman" w:eastAsia="Times New Roman" w:hAnsi="Times New Roman"/>
          <w:sz w:val="18"/>
          <w:szCs w:val="18"/>
          <w:color w:val="auto"/>
        </w:rPr>
        <w:t>Prevention of Non-Viral Tick-Borne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2317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31775"/>
                    </a:xfrm>
                    <a:prstGeom prst="rect">
                      <a:avLst/>
                    </a:prstGeom>
                    <a:noFill/>
                  </pic:spPr>
                </pic:pic>
              </a:graphicData>
            </a:graphic>
          </wp:anchor>
        </w:drawing>
      </w:r>
    </w:p>
    <w:p>
      <w:pPr>
        <w:ind w:left="180"/>
        <w:spacing w:after="0" w:line="219" w:lineRule="auto"/>
        <w:rPr>
          <w:sz w:val="20"/>
          <w:szCs w:val="20"/>
          <w:color w:val="auto"/>
        </w:rPr>
      </w:pPr>
      <w:r>
        <w:rPr>
          <w:rFonts w:ascii="Times New Roman" w:cs="Times New Roman" w:eastAsia="Times New Roman" w:hAnsi="Times New Roman"/>
          <w:sz w:val="18"/>
          <w:szCs w:val="18"/>
          <w:color w:val="auto"/>
        </w:rPr>
        <w:t>Diseases And Symptoms Thereof</w:t>
      </w:r>
    </w:p>
    <w:tbl>
      <w:tblPr>
        <w:tblLayout w:type="fixed"/>
        <w:tblInd w:w="0" w:type="dxa"/>
        <w:tblCellMar>
          <w:top w:w="0" w:type="dxa"/>
          <w:left w:w="0" w:type="dxa"/>
          <w:bottom w:w="0" w:type="dxa"/>
          <w:right w:w="0" w:type="dxa"/>
        </w:tblCellMar>
      </w:tblPr>
      <w:tr>
        <w:trPr>
          <w:trHeight w:val="160"/>
        </w:trPr>
        <w:tc>
          <w:tcPr>
            <w:tcW w:w="306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Methods For The Treatment And</w:t>
            </w:r>
          </w:p>
        </w:tc>
        <w:tc>
          <w:tcPr>
            <w:tcW w:w="150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color w:val="auto"/>
                <w:w w:val="98"/>
              </w:rPr>
              <w:t>Pending</w:t>
            </w:r>
          </w:p>
        </w:tc>
        <w:tc>
          <w:tcPr>
            <w:tcW w:w="1260" w:type="dxa"/>
            <w:vAlign w:val="bottom"/>
          </w:tcPr>
          <w:p>
            <w:pPr>
              <w:jc w:val="center"/>
              <w:ind w:right="15"/>
              <w:spacing w:after="0" w:line="161" w:lineRule="exact"/>
              <w:rPr>
                <w:sz w:val="20"/>
                <w:szCs w:val="20"/>
                <w:color w:val="auto"/>
              </w:rPr>
            </w:pPr>
            <w:r>
              <w:rPr>
                <w:rFonts w:ascii="Times New Roman" w:cs="Times New Roman" w:eastAsia="Times New Roman" w:hAnsi="Times New Roman"/>
                <w:sz w:val="18"/>
                <w:szCs w:val="18"/>
                <w:color w:val="auto"/>
              </w:rPr>
              <w:t>US</w:t>
            </w:r>
          </w:p>
        </w:tc>
        <w:tc>
          <w:tcPr>
            <w:tcW w:w="1340" w:type="dxa"/>
            <w:vAlign w:val="bottom"/>
          </w:tcPr>
          <w:p>
            <w:pPr>
              <w:ind w:left="400"/>
              <w:spacing w:after="0" w:line="161" w:lineRule="exact"/>
              <w:rPr>
                <w:sz w:val="20"/>
                <w:szCs w:val="20"/>
                <w:color w:val="auto"/>
              </w:rPr>
            </w:pPr>
            <w:r>
              <w:rPr>
                <w:rFonts w:ascii="Times New Roman" w:cs="Times New Roman" w:eastAsia="Times New Roman" w:hAnsi="Times New Roman"/>
                <w:sz w:val="18"/>
                <w:szCs w:val="18"/>
                <w:color w:val="auto"/>
              </w:rPr>
              <w:t>Pending</w:t>
            </w:r>
          </w:p>
        </w:tc>
        <w:tc>
          <w:tcPr>
            <w:tcW w:w="1280" w:type="dxa"/>
            <w:vAlign w:val="bottom"/>
          </w:tcPr>
          <w:p>
            <w:pPr>
              <w:spacing w:after="0"/>
              <w:rPr>
                <w:sz w:val="13"/>
                <w:szCs w:val="13"/>
                <w:color w:val="auto"/>
              </w:rPr>
            </w:pPr>
          </w:p>
        </w:tc>
        <w:tc>
          <w:tcPr>
            <w:tcW w:w="1520" w:type="dxa"/>
            <w:vAlign w:val="bottom"/>
          </w:tcPr>
          <w:p>
            <w:pPr>
              <w:jc w:val="center"/>
              <w:ind w:left="15"/>
              <w:spacing w:after="0" w:line="161" w:lineRule="exact"/>
              <w:rPr>
                <w:sz w:val="20"/>
                <w:szCs w:val="20"/>
                <w:color w:val="auto"/>
              </w:rPr>
            </w:pPr>
            <w:r>
              <w:rPr>
                <w:rFonts w:ascii="Times New Roman" w:cs="Times New Roman" w:eastAsia="Times New Roman" w:hAnsi="Times New Roman"/>
                <w:sz w:val="18"/>
                <w:szCs w:val="18"/>
                <w:color w:val="auto"/>
              </w:rPr>
              <w:t>18/640,695</w:t>
            </w:r>
          </w:p>
        </w:tc>
        <w:tc>
          <w:tcPr>
            <w:tcW w:w="1280" w:type="dxa"/>
            <w:vAlign w:val="bottom"/>
          </w:tcPr>
          <w:p>
            <w:pPr>
              <w:jc w:val="center"/>
              <w:spacing w:after="0" w:line="161" w:lineRule="exact"/>
              <w:rPr>
                <w:sz w:val="20"/>
                <w:szCs w:val="20"/>
                <w:color w:val="auto"/>
              </w:rPr>
            </w:pPr>
            <w:r>
              <w:rPr>
                <w:rFonts w:ascii="Times New Roman" w:cs="Times New Roman" w:eastAsia="Times New Roman" w:hAnsi="Times New Roman"/>
                <w:sz w:val="18"/>
                <w:szCs w:val="18"/>
                <w:color w:val="auto"/>
                <w:w w:val="99"/>
              </w:rPr>
              <w:t>19-Apr-2044**</w:t>
            </w:r>
          </w:p>
        </w:tc>
      </w:tr>
      <w:tr>
        <w:trPr>
          <w:trHeight w:val="184"/>
        </w:trPr>
        <w:tc>
          <w:tcPr>
            <w:tcW w:w="30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13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8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15"/>
              <w:spacing w:after="0" w:line="149" w:lineRule="exact"/>
              <w:rPr>
                <w:sz w:val="20"/>
                <w:szCs w:val="20"/>
                <w:color w:val="auto"/>
              </w:rPr>
            </w:pPr>
            <w:r>
              <w:rPr>
                <w:rFonts w:ascii="Times New Roman" w:cs="Times New Roman" w:eastAsia="Times New Roman" w:hAnsi="Times New Roman"/>
                <w:sz w:val="17"/>
                <w:szCs w:val="17"/>
                <w:color w:val="auto"/>
              </w:rPr>
              <w:t>3289731</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r>
      <w:tr>
        <w:trPr>
          <w:trHeight w:val="184"/>
        </w:trPr>
        <w:tc>
          <w:tcPr>
            <w:tcW w:w="30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7"/>
                <w:szCs w:val="17"/>
                <w:i w:val="1"/>
                <w:iCs w:val="1"/>
                <w:color w:val="auto"/>
              </w:rPr>
              <w:t>China</w:t>
            </w:r>
          </w:p>
        </w:tc>
        <w:tc>
          <w:tcPr>
            <w:tcW w:w="1340" w:type="dxa"/>
            <w:vAlign w:val="bottom"/>
          </w:tcPr>
          <w:p>
            <w:pPr>
              <w:ind w:left="4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80" w:type="dxa"/>
            <w:vAlign w:val="bottom"/>
          </w:tcPr>
          <w:p>
            <w:pPr>
              <w:spacing w:after="0"/>
              <w:rPr>
                <w:sz w:val="12"/>
                <w:szCs w:val="12"/>
                <w:color w:val="auto"/>
              </w:rPr>
            </w:pPr>
          </w:p>
        </w:tc>
        <w:tc>
          <w:tcPr>
            <w:tcW w:w="152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7"/>
                <w:szCs w:val="17"/>
                <w:color w:val="auto"/>
              </w:rPr>
              <w:t>202480041665.9</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r>
      <w:tr>
        <w:trPr>
          <w:trHeight w:val="184"/>
        </w:trPr>
        <w:tc>
          <w:tcPr>
            <w:tcW w:w="30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60" w:type="dxa"/>
            <w:vAlign w:val="bottom"/>
            <w:shd w:val="clear" w:color="auto" w:fill="CCEEFF"/>
          </w:tcPr>
          <w:p>
            <w:pPr>
              <w:jc w:val="center"/>
              <w:ind w:right="15"/>
              <w:spacing w:after="0" w:line="149" w:lineRule="exact"/>
              <w:rPr>
                <w:sz w:val="20"/>
                <w:szCs w:val="20"/>
                <w:color w:val="auto"/>
              </w:rPr>
            </w:pPr>
            <w:r>
              <w:rPr>
                <w:rFonts w:ascii="Times New Roman" w:cs="Times New Roman" w:eastAsia="Times New Roman" w:hAnsi="Times New Roman"/>
                <w:sz w:val="17"/>
                <w:szCs w:val="17"/>
                <w:color w:val="auto"/>
              </w:rPr>
              <w:t>EP</w:t>
            </w:r>
          </w:p>
        </w:tc>
        <w:tc>
          <w:tcPr>
            <w:tcW w:w="1340" w:type="dxa"/>
            <w:vAlign w:val="bottom"/>
            <w:shd w:val="clear" w:color="auto" w:fill="CCEEFF"/>
          </w:tcPr>
          <w:p>
            <w:pPr>
              <w:ind w:left="4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80" w:type="dxa"/>
            <w:vAlign w:val="bottom"/>
            <w:shd w:val="clear" w:color="auto" w:fill="CCEEFF"/>
          </w:tcPr>
          <w:p>
            <w:pPr>
              <w:spacing w:after="0"/>
              <w:rPr>
                <w:sz w:val="12"/>
                <w:szCs w:val="12"/>
                <w:color w:val="auto"/>
              </w:rPr>
            </w:pPr>
          </w:p>
        </w:tc>
        <w:tc>
          <w:tcPr>
            <w:tcW w:w="1520" w:type="dxa"/>
            <w:vAlign w:val="bottom"/>
            <w:shd w:val="clear" w:color="auto" w:fill="CCEEFF"/>
          </w:tcPr>
          <w:p>
            <w:pPr>
              <w:jc w:val="center"/>
              <w:ind w:left="15"/>
              <w:spacing w:after="0" w:line="149" w:lineRule="exact"/>
              <w:rPr>
                <w:sz w:val="20"/>
                <w:szCs w:val="20"/>
                <w:color w:val="auto"/>
              </w:rPr>
            </w:pPr>
            <w:r>
              <w:rPr>
                <w:rFonts w:ascii="Times New Roman" w:cs="Times New Roman" w:eastAsia="Times New Roman" w:hAnsi="Times New Roman"/>
                <w:sz w:val="17"/>
                <w:szCs w:val="17"/>
                <w:color w:val="auto"/>
              </w:rPr>
              <w:t>24793598.4</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r>
      <w:tr>
        <w:trPr>
          <w:trHeight w:val="184"/>
        </w:trPr>
        <w:tc>
          <w:tcPr>
            <w:tcW w:w="306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5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07"/>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Methods For The Treatment And</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7"/>
                <w:szCs w:val="17"/>
                <w:i w:val="1"/>
                <w:iCs w:val="1"/>
                <w:color w:val="auto"/>
              </w:rPr>
              <w:t>Japan</w:t>
            </w:r>
          </w:p>
        </w:tc>
        <w:tc>
          <w:tcPr>
            <w:tcW w:w="1340" w:type="dxa"/>
            <w:vAlign w:val="bottom"/>
          </w:tcPr>
          <w:p>
            <w:pPr>
              <w:ind w:left="400"/>
              <w:spacing w:after="0" w:line="149" w:lineRule="exact"/>
              <w:rPr>
                <w:sz w:val="20"/>
                <w:szCs w:val="20"/>
                <w:color w:val="auto"/>
              </w:rPr>
            </w:pPr>
            <w:r>
              <w:rPr>
                <w:rFonts w:ascii="Times New Roman" w:cs="Times New Roman" w:eastAsia="Times New Roman" w:hAnsi="Times New Roman"/>
                <w:sz w:val="17"/>
                <w:szCs w:val="17"/>
                <w:color w:val="auto"/>
              </w:rPr>
              <w:t>Pending</w:t>
            </w:r>
          </w:p>
        </w:tc>
        <w:tc>
          <w:tcPr>
            <w:tcW w:w="128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2025-561996</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19-Apr-2044*</w:t>
            </w:r>
          </w:p>
        </w:tc>
      </w:tr>
      <w:tr>
        <w:trPr>
          <w:trHeight w:val="184"/>
        </w:trPr>
        <w:tc>
          <w:tcPr>
            <w:tcW w:w="3060" w:type="dxa"/>
            <w:vAlign w:val="bottom"/>
          </w:tcPr>
          <w:p>
            <w:pPr>
              <w:ind w:left="180"/>
              <w:spacing w:after="0" w:line="184" w:lineRule="exact"/>
              <w:rPr>
                <w:sz w:val="20"/>
                <w:szCs w:val="20"/>
                <w:color w:val="auto"/>
              </w:rPr>
            </w:pPr>
            <w:r>
              <w:rPr>
                <w:rFonts w:ascii="Times New Roman" w:cs="Times New Roman" w:eastAsia="Times New Roman" w:hAnsi="Times New Roman"/>
                <w:sz w:val="18"/>
                <w:szCs w:val="18"/>
                <w:color w:val="auto"/>
              </w:rPr>
              <w:t>Prevention of Non-Viral Tick-Borne</w:t>
            </w:r>
          </w:p>
        </w:tc>
        <w:tc>
          <w:tcPr>
            <w:tcW w:w="15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Diseases And Symptoms Thereof</w:t>
            </w: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48"/>
        </w:trPr>
        <w:tc>
          <w:tcPr>
            <w:tcW w:w="30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Treatment Of Zika Virus Infections</w:t>
            </w:r>
          </w:p>
        </w:tc>
        <w:tc>
          <w:tcPr>
            <w:tcW w:w="15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10,328,061+</w:t>
            </w:r>
          </w:p>
        </w:tc>
        <w:tc>
          <w:tcPr>
            <w:tcW w:w="1260" w:type="dxa"/>
            <w:vAlign w:val="bottom"/>
            <w:shd w:val="clear" w:color="auto" w:fill="CCEEFF"/>
          </w:tcPr>
          <w:p>
            <w:pPr>
              <w:jc w:val="center"/>
              <w:ind w:right="15"/>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1340" w:type="dxa"/>
            <w:vAlign w:val="bottom"/>
            <w:shd w:val="clear" w:color="auto" w:fill="CCEEFF"/>
          </w:tcPr>
          <w:p>
            <w:pPr>
              <w:spacing w:after="0"/>
              <w:rPr>
                <w:sz w:val="12"/>
                <w:szCs w:val="12"/>
                <w:color w:val="auto"/>
              </w:rPr>
            </w:pPr>
          </w:p>
        </w:tc>
        <w:tc>
          <w:tcPr>
            <w:tcW w:w="1280" w:type="dxa"/>
            <w:vAlign w:val="bottom"/>
            <w:shd w:val="clear" w:color="auto" w:fill="CCEEFF"/>
          </w:tcPr>
          <w:p>
            <w:pPr>
              <w:jc w:val="right"/>
              <w:ind w:right="116"/>
              <w:spacing w:after="0" w:line="149" w:lineRule="exact"/>
              <w:rPr>
                <w:sz w:val="20"/>
                <w:szCs w:val="20"/>
                <w:color w:val="auto"/>
              </w:rPr>
            </w:pPr>
            <w:r>
              <w:rPr>
                <w:rFonts w:ascii="Times New Roman" w:cs="Times New Roman" w:eastAsia="Times New Roman" w:hAnsi="Times New Roman"/>
                <w:sz w:val="17"/>
                <w:szCs w:val="17"/>
                <w:color w:val="auto"/>
              </w:rPr>
              <w:t>6-25-2019</w:t>
            </w:r>
          </w:p>
        </w:tc>
        <w:tc>
          <w:tcPr>
            <w:tcW w:w="1520" w:type="dxa"/>
            <w:vAlign w:val="bottom"/>
            <w:shd w:val="clear" w:color="auto" w:fill="CCEEFF"/>
          </w:tcPr>
          <w:p>
            <w:pPr>
              <w:jc w:val="center"/>
              <w:ind w:left="15"/>
              <w:spacing w:after="0" w:line="149" w:lineRule="exact"/>
              <w:rPr>
                <w:sz w:val="20"/>
                <w:szCs w:val="20"/>
                <w:color w:val="auto"/>
              </w:rPr>
            </w:pPr>
            <w:r>
              <w:rPr>
                <w:rFonts w:ascii="Times New Roman" w:cs="Times New Roman" w:eastAsia="Times New Roman" w:hAnsi="Times New Roman"/>
                <w:sz w:val="17"/>
                <w:szCs w:val="17"/>
                <w:color w:val="auto"/>
              </w:rPr>
              <w:t>15/584,952+</w:t>
            </w:r>
          </w:p>
        </w:tc>
        <w:tc>
          <w:tcPr>
            <w:tcW w:w="12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02-May-2037</w:t>
            </w:r>
          </w:p>
        </w:tc>
      </w:tr>
      <w:tr>
        <w:trPr>
          <w:trHeight w:val="216"/>
        </w:trPr>
        <w:tc>
          <w:tcPr>
            <w:tcW w:w="3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Using Alpha Glucosidase Inhibitors</w:t>
            </w:r>
          </w:p>
        </w:tc>
        <w:tc>
          <w:tcPr>
            <w:tcW w:w="1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Treatment Of Zika Virus Infections</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10,561,642+</w:t>
            </w:r>
          </w:p>
        </w:tc>
        <w:tc>
          <w:tcPr>
            <w:tcW w:w="126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7"/>
                <w:szCs w:val="17"/>
                <w:color w:val="auto"/>
              </w:rPr>
              <w:t>US</w:t>
            </w:r>
          </w:p>
        </w:tc>
        <w:tc>
          <w:tcPr>
            <w:tcW w:w="1340" w:type="dxa"/>
            <w:vAlign w:val="bottom"/>
          </w:tcPr>
          <w:p>
            <w:pPr>
              <w:spacing w:after="0"/>
              <w:rPr>
                <w:sz w:val="12"/>
                <w:szCs w:val="12"/>
                <w:color w:val="auto"/>
              </w:rPr>
            </w:pPr>
          </w:p>
        </w:tc>
        <w:tc>
          <w:tcPr>
            <w:tcW w:w="1280" w:type="dxa"/>
            <w:vAlign w:val="bottom"/>
          </w:tcPr>
          <w:p>
            <w:pPr>
              <w:jc w:val="right"/>
              <w:ind w:right="116"/>
              <w:spacing w:after="0" w:line="149" w:lineRule="exact"/>
              <w:rPr>
                <w:sz w:val="20"/>
                <w:szCs w:val="20"/>
                <w:color w:val="auto"/>
              </w:rPr>
            </w:pPr>
            <w:r>
              <w:rPr>
                <w:rFonts w:ascii="Times New Roman" w:cs="Times New Roman" w:eastAsia="Times New Roman" w:hAnsi="Times New Roman"/>
                <w:sz w:val="17"/>
                <w:szCs w:val="17"/>
                <w:color w:val="auto"/>
              </w:rPr>
              <w:t>2-18-2020</w:t>
            </w:r>
          </w:p>
        </w:tc>
        <w:tc>
          <w:tcPr>
            <w:tcW w:w="1520" w:type="dxa"/>
            <w:vAlign w:val="bottom"/>
          </w:tcPr>
          <w:p>
            <w:pPr>
              <w:jc w:val="center"/>
              <w:ind w:left="15"/>
              <w:spacing w:after="0" w:line="149" w:lineRule="exact"/>
              <w:rPr>
                <w:sz w:val="20"/>
                <w:szCs w:val="20"/>
                <w:color w:val="auto"/>
              </w:rPr>
            </w:pPr>
            <w:r>
              <w:rPr>
                <w:rFonts w:ascii="Times New Roman" w:cs="Times New Roman" w:eastAsia="Times New Roman" w:hAnsi="Times New Roman"/>
                <w:sz w:val="17"/>
                <w:szCs w:val="17"/>
                <w:color w:val="auto"/>
              </w:rPr>
              <w:t>15/856,377+</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02-May-2037</w:t>
            </w:r>
          </w:p>
        </w:tc>
      </w:tr>
      <w:tr>
        <w:trPr>
          <w:trHeight w:val="234"/>
        </w:trPr>
        <w:tc>
          <w:tcPr>
            <w:tcW w:w="3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Using Alpha Glucosidase Inhibitors</w:t>
            </w:r>
          </w:p>
        </w:tc>
        <w:tc>
          <w:tcPr>
            <w:tcW w:w="1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125" w:lineRule="exact"/>
        <w:rPr>
          <w:sz w:val="20"/>
          <w:szCs w:val="20"/>
          <w:color w:val="auto"/>
        </w:rPr>
      </w:pPr>
    </w:p>
    <w:p>
      <w:pPr>
        <w:sectPr>
          <w:pgSz w:w="11900" w:h="16838" w:orient="portrait"/>
          <w:cols w:equalWidth="0" w:num="1">
            <w:col w:w="11240"/>
          </w:cols>
          <w:pgMar w:left="320" w:top="96"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0" w:lineRule="exact"/>
        <w:rPr>
          <w:sz w:val="20"/>
          <w:szCs w:val="20"/>
          <w:color w:val="auto"/>
        </w:rPr>
      </w:pPr>
    </w:p>
    <w:p>
      <w:pPr>
        <w:spacing w:after="0" w:line="315" w:lineRule="exact"/>
        <w:rPr>
          <w:sz w:val="20"/>
          <w:szCs w:val="20"/>
          <w:color w:val="auto"/>
        </w:rPr>
      </w:pPr>
    </w:p>
    <w:p>
      <w:pPr>
        <w:ind w:left="160" w:hanging="152"/>
        <w:spacing w:after="0"/>
        <w:tabs>
          <w:tab w:leader="none" w:pos="160" w:val="left"/>
        </w:tabs>
        <w:numPr>
          <w:ilvl w:val="0"/>
          <w:numId w:val="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36"/>
          <w:szCs w:val="36"/>
          <w:color w:val="auto"/>
          <w:vertAlign w:val="subscript"/>
        </w:rPr>
        <w:t>=</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hanging="112"/>
        <w:spacing w:after="0"/>
        <w:tabs>
          <w:tab w:leader="none" w:pos="120" w:val="left"/>
        </w:tabs>
        <w:numPr>
          <w:ilvl w:val="0"/>
          <w:numId w:val="24"/>
        </w:numPr>
        <w:rPr>
          <w:rFonts w:ascii="Times New Roman" w:cs="Times New Roman" w:eastAsia="Times New Roman" w:hAnsi="Times New Roman"/>
          <w:sz w:val="24"/>
          <w:szCs w:val="24"/>
          <w:b w:val="1"/>
          <w:bCs w:val="1"/>
          <w:color w:val="auto"/>
          <w:vertAlign w:val="superscript"/>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Times New Roman" w:cs="Times New Roman" w:eastAsia="Times New Roman" w:hAnsi="Times New Roman"/>
          <w:sz w:val="18"/>
          <w:szCs w:val="18"/>
          <w:color w:val="auto"/>
        </w:rPr>
        <w:t>For foreign patents and applications, the estimated and/or anticipated patent expiration is the date that is twenty years from the PCT filing date. For all issued Australian patents, this estimated date was also confirmed through the Australian patent office web database.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issued U.S. patents, the estimated patent expiration was calculated using information from the front cover of the patent,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20 years from the date</w:t>
      </w:r>
    </w:p>
    <w:p>
      <w:pPr>
        <w:spacing w:after="0" w:line="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the nonprovisional filing plus any listed Patent Term Adjustment less any time disclaimed through a Terminal Disclaimer. For pending U.S. applications, the anticipated patent expiration is the date twenty years from the earliest nonprovisional filing date and does not account for possible Patent Term Adjustment (PTA), Patent Term Extension (PTE), or Terminal Disclaimers.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U.S. provisional applications that are not yet the subject of a nonprovisional or PCT application, the anticipated patent expiration was determined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using the assumption that a non-provisional application or PCT will be filed one year after filing the provisional application with a term lasting twenty years from the date of that nonprovisional or PCT filing. This does not account for possible Patent Term Adjustment (PTA), Patent Term Extension (PTE), or Terminal Disclaimers.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Degrees Pharmaceuticals, Inc. is not a listed Applicant and Geoffrey S. Dow, Ph.D. is not a listed inventor.</w:t>
      </w:r>
    </w:p>
    <w:p>
      <w:pPr>
        <w:spacing w:after="0" w:line="200" w:lineRule="exact"/>
        <w:rPr>
          <w:sz w:val="20"/>
          <w:szCs w:val="20"/>
          <w:color w:val="auto"/>
        </w:rPr>
      </w:pPr>
    </w:p>
    <w:p>
      <w:pPr>
        <w:sectPr>
          <w:pgSz w:w="11900" w:h="16838" w:orient="portrait"/>
          <w:cols w:equalWidth="0" w:num="2">
            <w:col w:w="340" w:space="40"/>
            <w:col w:w="10860"/>
          </w:cols>
          <w:pgMar w:left="320" w:top="96" w:right="3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All patents not designated with a “+” list Geoffrey S. Dow, Ph.D. as an inventor.</w:t>
      </w:r>
    </w:p>
    <w:p>
      <w:pPr>
        <w:spacing w:after="0" w:line="203" w:lineRule="auto"/>
        <w:rPr>
          <w:sz w:val="20"/>
          <w:szCs w:val="20"/>
          <w:color w:val="auto"/>
        </w:rPr>
      </w:pPr>
      <w:r>
        <w:rPr>
          <w:rFonts w:ascii="Times New Roman" w:cs="Times New Roman" w:eastAsia="Times New Roman" w:hAnsi="Times New Roman"/>
          <w:sz w:val="18"/>
          <w:szCs w:val="18"/>
          <w:color w:val="auto"/>
        </w:rPr>
        <w:t>All patents not designated with a “+” or a “#” list 60 Degrees Pharmaceuticals, Inc. as an applicant.</w:t>
      </w:r>
    </w:p>
    <w:p>
      <w:pPr>
        <w:spacing w:after="0"/>
        <w:rPr>
          <w:sz w:val="20"/>
          <w:szCs w:val="20"/>
          <w:color w:val="auto"/>
        </w:rPr>
      </w:pPr>
      <w:r>
        <w:rPr>
          <w:rFonts w:ascii="Times New Roman" w:cs="Times New Roman" w:eastAsia="Times New Roman" w:hAnsi="Times New Roman"/>
          <w:sz w:val="18"/>
          <w:szCs w:val="18"/>
          <w:color w:val="auto"/>
        </w:rPr>
        <w:t>All estimated patent expiration dates and anticipated patent expiration assume payment of any maintenance/annuity fees during the patent term.</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9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260" w:type="dxa"/>
            <w:vAlign w:val="bottom"/>
            <w:gridSpan w:val="2"/>
            <w:vMerge w:val="restart"/>
          </w:tcPr>
          <w:p>
            <w:pPr>
              <w:spacing w:after="0"/>
              <w:rPr>
                <w:sz w:val="24"/>
                <w:szCs w:val="24"/>
                <w:color w:val="auto"/>
              </w:rPr>
            </w:pPr>
          </w:p>
        </w:tc>
        <w:tc>
          <w:tcPr>
            <w:tcW w:w="15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Mark</w:t>
            </w:r>
          </w:p>
        </w:tc>
        <w:tc>
          <w:tcPr>
            <w:tcW w:w="9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Application</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BIR Ref</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Due Date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Due Date</w:t>
            </w:r>
          </w:p>
        </w:tc>
        <w:tc>
          <w:tcPr>
            <w:tcW w:w="0" w:type="dxa"/>
            <w:vAlign w:val="bottom"/>
          </w:tcPr>
          <w:p>
            <w:pPr>
              <w:spacing w:after="0"/>
              <w:rPr>
                <w:sz w:val="1"/>
                <w:szCs w:val="1"/>
                <w:color w:val="auto"/>
              </w:rPr>
            </w:pPr>
          </w:p>
        </w:tc>
      </w:tr>
      <w:tr>
        <w:trPr>
          <w:trHeight w:val="223"/>
        </w:trPr>
        <w:tc>
          <w:tcPr>
            <w:tcW w:w="90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960" w:type="dxa"/>
            <w:vAlign w:val="bottom"/>
            <w:gridSpan w:val="2"/>
            <w:vMerge w:val="continue"/>
          </w:tcPr>
          <w:p>
            <w:pPr>
              <w:spacing w:after="0"/>
              <w:rPr>
                <w:sz w:val="19"/>
                <w:szCs w:val="19"/>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5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20" w:type="dxa"/>
            <w:vAlign w:val="bottom"/>
            <w:gridSpan w:val="2"/>
            <w:vMerge w:val="continue"/>
          </w:tcPr>
          <w:p>
            <w:pPr>
              <w:spacing w:after="0"/>
              <w:rPr>
                <w:sz w:val="19"/>
                <w:szCs w:val="19"/>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49"/>
        </w:trPr>
        <w:tc>
          <w:tcPr>
            <w:tcW w:w="1100" w:type="dxa"/>
            <w:vAlign w:val="bottom"/>
            <w:tcBorders>
              <w:top w:val="single" w:sz="8" w:color="auto"/>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Australia</w:t>
            </w:r>
          </w:p>
        </w:tc>
        <w:tc>
          <w:tcPr>
            <w:tcW w:w="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6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4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1774631</w:t>
            </w:r>
          </w:p>
        </w:tc>
        <w:tc>
          <w:tcPr>
            <w:tcW w:w="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2-Jun-16</w:t>
            </w:r>
          </w:p>
        </w:tc>
        <w:tc>
          <w:tcPr>
            <w:tcW w:w="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6/2/2016</w:t>
            </w:r>
          </w:p>
        </w:tc>
        <w:tc>
          <w:tcPr>
            <w:tcW w:w="60" w:type="dxa"/>
            <w:vAlign w:val="bottom"/>
            <w:tcBorders>
              <w:top w:val="single" w:sz="8" w:color="CCEEFF"/>
            </w:tcBorders>
            <w:shd w:val="clear" w:color="auto" w:fill="CCEEFF"/>
          </w:tcPr>
          <w:p>
            <w:pPr>
              <w:spacing w:after="0"/>
              <w:rPr>
                <w:sz w:val="12"/>
                <w:szCs w:val="12"/>
                <w:color w:val="auto"/>
              </w:rPr>
            </w:pPr>
          </w:p>
        </w:tc>
        <w:tc>
          <w:tcPr>
            <w:tcW w:w="15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1774631</w:t>
            </w: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2-Jun-26</w:t>
            </w:r>
          </w:p>
        </w:tc>
        <w:tc>
          <w:tcPr>
            <w:tcW w:w="4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000029</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1785098</w:t>
            </w:r>
          </w:p>
        </w:tc>
        <w:tc>
          <w:tcPr>
            <w:tcW w:w="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1-Jun-16</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11/26/2019</w:t>
            </w:r>
          </w:p>
        </w:tc>
        <w:tc>
          <w:tcPr>
            <w:tcW w:w="60" w:type="dxa"/>
            <w:vAlign w:val="bottom"/>
          </w:tcPr>
          <w:p>
            <w:pPr>
              <w:spacing w:after="0"/>
              <w:rPr>
                <w:sz w:val="12"/>
                <w:szCs w:val="12"/>
                <w:color w:val="auto"/>
              </w:rPr>
            </w:pPr>
          </w:p>
        </w:tc>
        <w:tc>
          <w:tcPr>
            <w:tcW w:w="1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TMA1,064,371</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26-Nov-</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000028</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Canada</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ARAKODA</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1899317</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15-May-</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8/20/2020</w:t>
            </w:r>
          </w:p>
        </w:tc>
        <w:tc>
          <w:tcPr>
            <w:tcW w:w="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TMA1,081,180</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20-Aug-</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000053</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China</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20842242</w:t>
            </w: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2-Aug-16</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9/28/2017</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20842242</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27-Sep-27</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000035</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European</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15508872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3-Jun-16</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9/21/2016</w:t>
            </w:r>
          </w:p>
        </w:tc>
        <w:tc>
          <w:tcPr>
            <w:tcW w:w="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15508872</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3-Jun-26</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Union</w:t>
            </w: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000034</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European</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ARAKODA</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17900852</w:t>
            </w: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16-May-</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9/20/2018</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17900852</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16-May-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Union</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000054</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Israel</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285476</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6-Jun-16</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6/6/2016</w:t>
            </w:r>
          </w:p>
        </w:tc>
        <w:tc>
          <w:tcPr>
            <w:tcW w:w="60" w:type="dxa"/>
            <w:vAlign w:val="bottom"/>
            <w:shd w:val="clear" w:color="auto" w:fill="CCEEFF"/>
          </w:tcPr>
          <w:p>
            <w:pPr>
              <w:spacing w:after="0"/>
              <w:rPr>
                <w:sz w:val="12"/>
                <w:szCs w:val="12"/>
                <w:color w:val="auto"/>
              </w:rPr>
            </w:pP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285476</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6-Jun-26</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000033</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New Zealand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1044407</w:t>
            </w:r>
          </w:p>
        </w:tc>
        <w:tc>
          <w:tcPr>
            <w:tcW w:w="60" w:type="dxa"/>
            <w:vAlign w:val="bottom"/>
          </w:tcPr>
          <w:p>
            <w:pPr>
              <w:spacing w:after="0"/>
              <w:rPr>
                <w:sz w:val="12"/>
                <w:szCs w:val="12"/>
                <w:color w:val="auto"/>
              </w:rPr>
            </w:pPr>
          </w:p>
        </w:tc>
        <w:tc>
          <w:tcPr>
            <w:tcW w:w="7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7-Jun-16</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12/8/2016</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1044407</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6-May-26</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000031</w:t>
            </w: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1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Russian</w:t>
            </w:r>
          </w:p>
        </w:tc>
        <w:tc>
          <w:tcPr>
            <w:tcW w:w="158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7"/>
              </w:rPr>
              <w:t>KODATEF</w:t>
            </w:r>
          </w:p>
        </w:tc>
        <w:tc>
          <w:tcPr>
            <w:tcW w:w="960" w:type="dxa"/>
            <w:vAlign w:val="bottom"/>
            <w:gridSpan w:val="2"/>
          </w:tcPr>
          <w:p>
            <w:pPr>
              <w:jc w:val="center"/>
              <w:ind w:right="60"/>
              <w:spacing w:after="0" w:line="181" w:lineRule="exact"/>
              <w:rPr>
                <w:sz w:val="20"/>
                <w:szCs w:val="20"/>
                <w:color w:val="auto"/>
              </w:rPr>
            </w:pPr>
            <w:r>
              <w:rPr>
                <w:rFonts w:ascii="Times New Roman" w:cs="Times New Roman" w:eastAsia="Times New Roman" w:hAnsi="Times New Roman"/>
                <w:sz w:val="18"/>
                <w:szCs w:val="18"/>
                <w:color w:val="auto"/>
              </w:rPr>
              <w:t>Registered</w:t>
            </w:r>
          </w:p>
        </w:tc>
        <w:tc>
          <w:tcPr>
            <w:tcW w:w="12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2016720181</w:t>
            </w:r>
          </w:p>
        </w:tc>
        <w:tc>
          <w:tcPr>
            <w:tcW w:w="60" w:type="dxa"/>
            <w:vAlign w:val="bottom"/>
          </w:tcPr>
          <w:p>
            <w:pPr>
              <w:spacing w:after="0"/>
              <w:rPr>
                <w:sz w:val="15"/>
                <w:szCs w:val="15"/>
                <w:color w:val="auto"/>
              </w:rPr>
            </w:pPr>
          </w:p>
        </w:tc>
        <w:tc>
          <w:tcPr>
            <w:tcW w:w="760" w:type="dxa"/>
            <w:vAlign w:val="bottom"/>
            <w:gridSpan w:val="2"/>
          </w:tcPr>
          <w:p>
            <w:pPr>
              <w:jc w:val="center"/>
              <w:ind w:right="40"/>
              <w:spacing w:after="0" w:line="181" w:lineRule="exact"/>
              <w:rPr>
                <w:sz w:val="20"/>
                <w:szCs w:val="20"/>
                <w:color w:val="auto"/>
              </w:rPr>
            </w:pPr>
            <w:r>
              <w:rPr>
                <w:rFonts w:ascii="Times New Roman" w:cs="Times New Roman" w:eastAsia="Times New Roman" w:hAnsi="Times New Roman"/>
                <w:sz w:val="18"/>
                <w:szCs w:val="18"/>
                <w:color w:val="auto"/>
                <w:w w:val="99"/>
              </w:rPr>
              <w:t>6-Jun-16</w:t>
            </w:r>
          </w:p>
        </w:tc>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7/10/2017</w:t>
            </w:r>
          </w:p>
        </w:tc>
        <w:tc>
          <w:tcPr>
            <w:tcW w:w="60" w:type="dxa"/>
            <w:vAlign w:val="bottom"/>
          </w:tcPr>
          <w:p>
            <w:pPr>
              <w:spacing w:after="0"/>
              <w:rPr>
                <w:sz w:val="15"/>
                <w:szCs w:val="15"/>
                <w:color w:val="auto"/>
              </w:rPr>
            </w:pP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623174</w:t>
            </w:r>
          </w:p>
        </w:tc>
        <w:tc>
          <w:tcPr>
            <w:tcW w:w="40" w:type="dxa"/>
            <w:vAlign w:val="bottom"/>
          </w:tcPr>
          <w:p>
            <w:pPr>
              <w:spacing w:after="0"/>
              <w:rPr>
                <w:sz w:val="15"/>
                <w:szCs w:val="15"/>
                <w:color w:val="auto"/>
              </w:rPr>
            </w:pPr>
          </w:p>
        </w:tc>
        <w:tc>
          <w:tcPr>
            <w:tcW w:w="8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0081716-</w:t>
            </w:r>
          </w:p>
        </w:tc>
        <w:tc>
          <w:tcPr>
            <w:tcW w:w="60" w:type="dxa"/>
            <w:vAlign w:val="bottom"/>
          </w:tcPr>
          <w:p>
            <w:pPr>
              <w:spacing w:after="0"/>
              <w:rPr>
                <w:sz w:val="15"/>
                <w:szCs w:val="15"/>
                <w:color w:val="auto"/>
              </w:rPr>
            </w:pPr>
          </w:p>
        </w:tc>
        <w:tc>
          <w:tcPr>
            <w:tcW w:w="820" w:type="dxa"/>
            <w:vAlign w:val="bottom"/>
            <w:gridSpan w:val="2"/>
          </w:tcPr>
          <w:p>
            <w:pPr>
              <w:jc w:val="center"/>
              <w:ind w:right="60"/>
              <w:spacing w:after="0" w:line="181" w:lineRule="exact"/>
              <w:rPr>
                <w:sz w:val="20"/>
                <w:szCs w:val="20"/>
                <w:color w:val="auto"/>
              </w:rPr>
            </w:pPr>
            <w:r>
              <w:rPr>
                <w:rFonts w:ascii="Times New Roman" w:cs="Times New Roman" w:eastAsia="Times New Roman" w:hAnsi="Times New Roman"/>
                <w:sz w:val="18"/>
                <w:szCs w:val="18"/>
                <w:color w:val="auto"/>
                <w:w w:val="99"/>
              </w:rPr>
              <w:t>6-Jun-26</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Renewal Due</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Federation</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000032</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Singapore</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32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40201707950V</w:t>
            </w:r>
          </w:p>
        </w:tc>
        <w:tc>
          <w:tcPr>
            <w:tcW w:w="7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2-May-</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11/8/2017</w:t>
            </w:r>
          </w:p>
        </w:tc>
        <w:tc>
          <w:tcPr>
            <w:tcW w:w="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40201707950V</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2-May-27</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000040</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United</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ARAKODA</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17900852</w:t>
            </w: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16-May-</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9/20/2018</w:t>
            </w:r>
          </w:p>
        </w:tc>
        <w:tc>
          <w:tcPr>
            <w:tcW w:w="60" w:type="dxa"/>
            <w:vAlign w:val="bottom"/>
          </w:tcPr>
          <w:p>
            <w:pPr>
              <w:spacing w:after="0"/>
              <w:rPr>
                <w:sz w:val="12"/>
                <w:szCs w:val="12"/>
                <w:color w:val="auto"/>
              </w:rPr>
            </w:pPr>
          </w:p>
        </w:tc>
        <w:tc>
          <w:tcPr>
            <w:tcW w:w="15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UK00917900852</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16-May-</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Kingdom</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000054</w:t>
            </w:r>
          </w:p>
        </w:tc>
        <w:tc>
          <w:tcPr>
            <w:tcW w:w="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United</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15508872</w:t>
            </w: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3-Jun-16</w:t>
            </w:r>
          </w:p>
        </w:tc>
        <w:tc>
          <w:tcPr>
            <w:tcW w:w="10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9/21/2016</w:t>
            </w:r>
          </w:p>
        </w:tc>
        <w:tc>
          <w:tcPr>
            <w:tcW w:w="6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UK009015508872</w:t>
            </w: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3-Jun-26</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Renewal Due</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Kingdom</w:t>
            </w: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000072</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United States</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TQ 100 &amp; TABLET</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87608493</w:t>
            </w: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14-Sep-</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9/11/2018</w:t>
            </w:r>
          </w:p>
        </w:tc>
        <w:tc>
          <w:tcPr>
            <w:tcW w:w="6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5562900</w:t>
            </w: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7"/>
                <w:szCs w:val="17"/>
                <w:color w:val="auto"/>
              </w:rPr>
              <w:t>11-Sep-24</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Section 8 &amp;</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America</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DESIGN</w:t>
            </w: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000037</w:t>
            </w: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15 Due</w:t>
            </w:r>
          </w:p>
        </w:tc>
        <w:tc>
          <w:tcPr>
            <w:tcW w:w="0" w:type="dxa"/>
            <w:vAlign w:val="bottom"/>
          </w:tcPr>
          <w:p>
            <w:pPr>
              <w:spacing w:after="0"/>
              <w:rPr>
                <w:sz w:val="1"/>
                <w:szCs w:val="1"/>
                <w:color w:val="auto"/>
              </w:rPr>
            </w:pPr>
          </w:p>
        </w:tc>
      </w:tr>
      <w:tr>
        <w:trPr>
          <w:trHeight w:val="149"/>
        </w:trPr>
        <w:tc>
          <w:tcPr>
            <w:tcW w:w="11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United States</w:t>
            </w:r>
          </w:p>
        </w:tc>
        <w:tc>
          <w:tcPr>
            <w:tcW w:w="1580" w:type="dxa"/>
            <w:vAlign w:val="bottom"/>
            <w:gridSpan w:val="2"/>
            <w:shd w:val="clear" w:color="auto" w:fill="CCEEFF"/>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ARAKODA</w:t>
            </w:r>
          </w:p>
        </w:tc>
        <w:tc>
          <w:tcPr>
            <w:tcW w:w="96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Registered</w:t>
            </w:r>
          </w:p>
        </w:tc>
        <w:tc>
          <w:tcPr>
            <w:tcW w:w="12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87688137</w:t>
            </w:r>
          </w:p>
        </w:tc>
        <w:tc>
          <w:tcPr>
            <w:tcW w:w="6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auto"/>
              </w:rPr>
              <w:t>16-Nov-   12/31/2019</w:t>
            </w:r>
          </w:p>
        </w:tc>
        <w:tc>
          <w:tcPr>
            <w:tcW w:w="15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5950691</w:t>
            </w: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31-Dec-25</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7"/>
                <w:szCs w:val="17"/>
                <w:color w:val="auto"/>
              </w:rPr>
              <w:t>Section 8 &amp;</w:t>
            </w:r>
          </w:p>
        </w:tc>
        <w:tc>
          <w:tcPr>
            <w:tcW w:w="0" w:type="dxa"/>
            <w:vAlign w:val="bottom"/>
          </w:tcPr>
          <w:p>
            <w:pPr>
              <w:spacing w:after="0"/>
              <w:rPr>
                <w:sz w:val="1"/>
                <w:szCs w:val="1"/>
                <w:color w:val="auto"/>
              </w:rPr>
            </w:pPr>
          </w:p>
        </w:tc>
      </w:tr>
      <w:tr>
        <w:trPr>
          <w:trHeight w:val="216"/>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America</w:t>
            </w:r>
          </w:p>
        </w:tc>
        <w:tc>
          <w:tcPr>
            <w:tcW w:w="1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000050</w:t>
            </w: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15 Due</w:t>
            </w:r>
          </w:p>
        </w:tc>
        <w:tc>
          <w:tcPr>
            <w:tcW w:w="0" w:type="dxa"/>
            <w:vAlign w:val="bottom"/>
          </w:tcPr>
          <w:p>
            <w:pPr>
              <w:spacing w:after="0"/>
              <w:rPr>
                <w:sz w:val="1"/>
                <w:szCs w:val="1"/>
                <w:color w:val="auto"/>
              </w:rPr>
            </w:pPr>
          </w:p>
        </w:tc>
      </w:tr>
      <w:tr>
        <w:trPr>
          <w:trHeight w:val="149"/>
        </w:trPr>
        <w:tc>
          <w:tcPr>
            <w:tcW w:w="1160" w:type="dxa"/>
            <w:vAlign w:val="bottom"/>
            <w:gridSpan w:val="3"/>
          </w:tcPr>
          <w:p>
            <w:pPr>
              <w:spacing w:after="0" w:line="149" w:lineRule="exact"/>
              <w:rPr>
                <w:sz w:val="20"/>
                <w:szCs w:val="20"/>
                <w:color w:val="auto"/>
              </w:rPr>
            </w:pPr>
            <w:r>
              <w:rPr>
                <w:rFonts w:ascii="Times New Roman" w:cs="Times New Roman" w:eastAsia="Times New Roman" w:hAnsi="Times New Roman"/>
                <w:sz w:val="17"/>
                <w:szCs w:val="17"/>
                <w:color w:val="auto"/>
              </w:rPr>
              <w:t>United States</w:t>
            </w:r>
          </w:p>
        </w:tc>
        <w:tc>
          <w:tcPr>
            <w:tcW w:w="15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7"/>
                <w:szCs w:val="17"/>
                <w:color w:val="auto"/>
              </w:rPr>
              <w:t>KODATEF</w:t>
            </w: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Abandoned-</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90072885</w:t>
            </w:r>
          </w:p>
        </w:tc>
        <w:tc>
          <w:tcPr>
            <w:tcW w:w="6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24-Jul-20</w:t>
            </w: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0081716-</w:t>
            </w: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7"/>
                <w:szCs w:val="17"/>
                <w:color w:val="auto"/>
              </w:rPr>
              <w:t>16-Aug-</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7"/>
                <w:szCs w:val="17"/>
                <w:color w:val="auto"/>
              </w:rPr>
              <w:t>Statement of</w:t>
            </w:r>
          </w:p>
        </w:tc>
        <w:tc>
          <w:tcPr>
            <w:tcW w:w="0" w:type="dxa"/>
            <w:vAlign w:val="bottom"/>
          </w:tcPr>
          <w:p>
            <w:pPr>
              <w:spacing w:after="0"/>
              <w:rPr>
                <w:sz w:val="1"/>
                <w:szCs w:val="1"/>
                <w:color w:val="auto"/>
              </w:rPr>
            </w:pPr>
          </w:p>
        </w:tc>
      </w:tr>
      <w:tr>
        <w:trPr>
          <w:trHeight w:val="176"/>
        </w:trPr>
        <w:tc>
          <w:tcPr>
            <w:tcW w:w="1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of America</w:t>
            </w:r>
          </w:p>
        </w:tc>
        <w:tc>
          <w:tcPr>
            <w:tcW w:w="1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000069</w:t>
            </w:r>
          </w:p>
        </w:tc>
        <w:tc>
          <w:tcPr>
            <w:tcW w:w="6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c>
          <w:tcPr>
            <w:tcW w:w="40" w:type="dxa"/>
            <w:vAlign w:val="bottom"/>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Use/3rd</w:t>
            </w:r>
          </w:p>
        </w:tc>
        <w:tc>
          <w:tcPr>
            <w:tcW w:w="0" w:type="dxa"/>
            <w:vAlign w:val="bottom"/>
          </w:tcPr>
          <w:p>
            <w:pPr>
              <w:spacing w:after="0"/>
              <w:rPr>
                <w:sz w:val="1"/>
                <w:szCs w:val="1"/>
                <w:color w:val="auto"/>
              </w:rPr>
            </w:pPr>
          </w:p>
        </w:tc>
      </w:tr>
      <w:tr>
        <w:trPr>
          <w:trHeight w:val="184"/>
        </w:trPr>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Extension of</w:t>
            </w:r>
          </w:p>
        </w:tc>
        <w:tc>
          <w:tcPr>
            <w:tcW w:w="0" w:type="dxa"/>
            <w:vAlign w:val="bottom"/>
          </w:tcPr>
          <w:p>
            <w:pPr>
              <w:spacing w:after="0"/>
              <w:rPr>
                <w:sz w:val="1"/>
                <w:szCs w:val="1"/>
                <w:color w:val="auto"/>
              </w:rPr>
            </w:pPr>
          </w:p>
        </w:tc>
      </w:tr>
      <w:tr>
        <w:trPr>
          <w:trHeight w:val="180"/>
        </w:trPr>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5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7"/>
              </w:rPr>
              <w:t>KODATEF</w:t>
            </w:r>
          </w:p>
        </w:tc>
        <w:tc>
          <w:tcPr>
            <w:tcW w:w="9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Allowed</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98/363,219</w:t>
            </w:r>
          </w:p>
        </w:tc>
        <w:tc>
          <w:tcPr>
            <w:tcW w:w="60" w:type="dxa"/>
            <w:vAlign w:val="bottom"/>
          </w:tcPr>
          <w:p>
            <w:pPr>
              <w:spacing w:after="0"/>
              <w:rPr>
                <w:sz w:val="15"/>
                <w:szCs w:val="15"/>
                <w:color w:val="auto"/>
              </w:rPr>
            </w:pPr>
          </w:p>
        </w:tc>
        <w:tc>
          <w:tcPr>
            <w:tcW w:w="7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w w:val="99"/>
              </w:rPr>
              <w:t>18-Jan-</w:t>
            </w: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0081716-</w:t>
            </w:r>
          </w:p>
        </w:tc>
        <w:tc>
          <w:tcPr>
            <w:tcW w:w="60" w:type="dxa"/>
            <w:vAlign w:val="bottom"/>
          </w:tcPr>
          <w:p>
            <w:pPr>
              <w:spacing w:after="0"/>
              <w:rPr>
                <w:sz w:val="15"/>
                <w:szCs w:val="15"/>
                <w:color w:val="auto"/>
              </w:rPr>
            </w:pP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color w:val="auto"/>
              </w:rPr>
              <w:t>12-May-</w:t>
            </w:r>
          </w:p>
        </w:tc>
        <w:tc>
          <w:tcPr>
            <w:tcW w:w="10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Time Due</w:t>
            </w:r>
          </w:p>
        </w:tc>
        <w:tc>
          <w:tcPr>
            <w:tcW w:w="0" w:type="dxa"/>
            <w:vAlign w:val="bottom"/>
          </w:tcPr>
          <w:p>
            <w:pPr>
              <w:spacing w:after="0"/>
              <w:rPr>
                <w:sz w:val="1"/>
                <w:szCs w:val="1"/>
                <w:color w:val="auto"/>
              </w:rPr>
            </w:pPr>
          </w:p>
        </w:tc>
      </w:tr>
      <w:tr>
        <w:trPr>
          <w:trHeight w:val="176"/>
        </w:trPr>
        <w:tc>
          <w:tcPr>
            <w:tcW w:w="1160" w:type="dxa"/>
            <w:vAlign w:val="bottom"/>
            <w:gridSpan w:val="3"/>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Statement of</w:t>
            </w:r>
          </w:p>
        </w:tc>
        <w:tc>
          <w:tcPr>
            <w:tcW w:w="0" w:type="dxa"/>
            <w:vAlign w:val="bottom"/>
          </w:tcPr>
          <w:p>
            <w:pPr>
              <w:spacing w:after="0"/>
              <w:rPr>
                <w:sz w:val="1"/>
                <w:szCs w:val="1"/>
                <w:color w:val="auto"/>
              </w:rPr>
            </w:pPr>
          </w:p>
        </w:tc>
      </w:tr>
      <w:tr>
        <w:trPr>
          <w:trHeight w:val="191"/>
        </w:trPr>
        <w:tc>
          <w:tcPr>
            <w:tcW w:w="1160" w:type="dxa"/>
            <w:vAlign w:val="bottom"/>
            <w:gridSpan w:val="3"/>
          </w:tcPr>
          <w:p>
            <w:pPr>
              <w:spacing w:after="0" w:line="191" w:lineRule="exact"/>
              <w:rPr>
                <w:sz w:val="20"/>
                <w:szCs w:val="20"/>
                <w:color w:val="auto"/>
              </w:rPr>
            </w:pPr>
            <w:r>
              <w:rPr>
                <w:rFonts w:ascii="Times New Roman" w:cs="Times New Roman" w:eastAsia="Times New Roman" w:hAnsi="Times New Roman"/>
                <w:sz w:val="18"/>
                <w:szCs w:val="18"/>
                <w:color w:val="auto"/>
              </w:rPr>
              <w:t>of America</w:t>
            </w:r>
          </w:p>
        </w:tc>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24</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000074</w:t>
            </w:r>
          </w:p>
        </w:tc>
        <w:tc>
          <w:tcPr>
            <w:tcW w:w="60" w:type="dxa"/>
            <w:vAlign w:val="bottom"/>
          </w:tcPr>
          <w:p>
            <w:pPr>
              <w:spacing w:after="0"/>
              <w:rPr>
                <w:sz w:val="16"/>
                <w:szCs w:val="16"/>
                <w:color w:val="auto"/>
              </w:rPr>
            </w:pPr>
          </w:p>
        </w:tc>
        <w:tc>
          <w:tcPr>
            <w:tcW w:w="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25</w:t>
            </w:r>
          </w:p>
        </w:tc>
        <w:tc>
          <w:tcPr>
            <w:tcW w:w="40" w:type="dxa"/>
            <w:vAlign w:val="bottom"/>
          </w:tcPr>
          <w:p>
            <w:pPr>
              <w:spacing w:after="0"/>
              <w:rPr>
                <w:sz w:val="16"/>
                <w:szCs w:val="16"/>
                <w:color w:val="auto"/>
              </w:rPr>
            </w:pPr>
          </w:p>
        </w:tc>
        <w:tc>
          <w:tcPr>
            <w:tcW w:w="10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Use/1st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4540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454025"/>
                    </a:xfrm>
                    <a:prstGeom prst="rect">
                      <a:avLst/>
                    </a:prstGeom>
                    <a:noFill/>
                  </pic:spPr>
                </pic:pic>
              </a:graphicData>
            </a:graphic>
          </wp:anchor>
        </w:drawing>
      </w:r>
    </w:p>
    <w:p>
      <w:pPr>
        <w:jc w:val="center"/>
        <w:ind w:left="10200"/>
        <w:spacing w:after="0" w:line="219" w:lineRule="auto"/>
        <w:rPr>
          <w:sz w:val="20"/>
          <w:szCs w:val="20"/>
          <w:color w:val="auto"/>
        </w:rPr>
      </w:pPr>
      <w:r>
        <w:rPr>
          <w:rFonts w:ascii="Times New Roman" w:cs="Times New Roman" w:eastAsia="Times New Roman" w:hAnsi="Times New Roman"/>
          <w:sz w:val="18"/>
          <w:szCs w:val="18"/>
          <w:color w:val="auto"/>
        </w:rPr>
        <w:t>Extension of</w:t>
      </w:r>
    </w:p>
    <w:p>
      <w:pPr>
        <w:jc w:val="center"/>
        <w:ind w:left="10200"/>
        <w:spacing w:after="0"/>
        <w:rPr>
          <w:sz w:val="20"/>
          <w:szCs w:val="20"/>
          <w:color w:val="auto"/>
        </w:rPr>
      </w:pPr>
      <w:r>
        <w:rPr>
          <w:rFonts w:ascii="Times New Roman" w:cs="Times New Roman" w:eastAsia="Times New Roman" w:hAnsi="Times New Roman"/>
          <w:sz w:val="18"/>
          <w:szCs w:val="18"/>
          <w:color w:val="auto"/>
        </w:rPr>
        <w:t>Time Due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96" w:right="339" w:bottom="0" w:gutter="0" w:footer="0" w:header="0"/>
          <w:type w:val="continuous"/>
        </w:sect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Relationships &amp; Licenses</w:t>
      </w:r>
    </w:p>
    <w:p>
      <w:pPr>
        <w:sectPr>
          <w:pgSz w:w="11900" w:h="16838" w:orient="portrait"/>
          <w:cols w:equalWidth="0" w:num="1">
            <w:col w:w="11240"/>
          </w:cols>
          <w:pgMar w:left="320" w:top="96" w:right="33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On May 30, 2014, we entered into the Exclusive License Agreement (the “2014 NUS-SHS Agreement”) with National University of Singapore (“NUS”)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Singapore Health Services Pte Ltd (“SHS”) in which we were granted a license from NUS and SHS with respect to their share of patent rights regarding “Dosing Regimen for Use of Celgosivir as an Antiviral Therapeutic for Dengue Virus Infection” to develop, market and sell licensed products. The 2014 NUS-SHS Agreement continues in force until the expiration of the last to expire of any patents under the patent rights unless terminated earlier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the 2014 NUS-SHS Agreement. We are obligated to pay royalties at the rate of 1.5% of gross sales.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15, 2015, we entered into the Exclusive License Agreement with the U.S. Army Medical Materiel Development Activity (the “U.S. Army”), which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was subsequently amended (the “U.S. Army Agreement”), pursuant to which we obtained a license to develop and commercialize the licensed technology with respect to all therapeutic applications and uses excluding radical cure of symptomatic vivax malaria. This exclusion does not impact our ability to market Arakoda for the FDA-approved use, which is the prevention of malaria utilizing the indicated dose in asymptomatic individuals traveling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malarious areas (whereas the license exclusion relates to its use to treat symptomatic vivax malaria in a patient already presenting with that disease). The term of the U.S. Army Agreement will continue until the expiration of the last to expire of the patent application or valid claim of the licensed technology, or 20 years from the start date of the U.S. Army Agreement, unless terminated earlier by the parties. We must make a minimum annual royalty payment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3% of Net Sales (as defined in the U.S. Army Agreement) for Net Sales less than $35 million, and 5% of Net Sales greater than $35 million, with US government sales excluded from the definition of Net Sales. The U.S. Army Agreement requires us to make a change of control payment of $100,000 if we are acquired or merge with another company, and regulatory approval milestone payments once marketing authorizations are achieved in Canada ($5,000)</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and Europe ($5,000). In addition, we were required to pay a sales-based milestone fee of $75,000 once cumulative net sales from all sources exceeded $6 million, which sales-based milestone target was achieved in 2023 and settled in full in June 2024.</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September 15, 2016, we entered into the Exclusive License Agreement (the “2016 NUS-SHS Agreement”) with National University of Singapore (“NUS”) and Singapore Health Services Pte Ltd (“SHS”) in which we were granted a license from NUS and SHS with respect to their share of patent rights regarding “Novel Dosing Regimens of Celgosivir for The Prevention of Dengue” to develop, market and sell licensed products. The 2016 NUS-SHS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Agreement continues in force until the expiration of the last to expire of any patents under the patent rights unless terminated earlier in accordance with the 2016 NUS-SHS Agreement. We are obligated to pay at the rate of 1.5% of gross sales or minimum annual royalty ($5,000 in 2022 and $15,000 in 2023). In July 2022, the Company renegotiated the timing of a license fee of $85,000 Singapore Dollars, payable to the National University of Singapore, such that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 would be due at the earlier of (i) enrollment of a patient in a Phase II clinical trial involving Celgosivir, (ii) two years from the agreement date and (iii) an initial public offering.</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December 4, 2020, we entered into the Other Transaction Authority for Prototype Agreement (“OTAP Agreement”) with the Natick Contracting Division of the U.S. government in which we will, among other things, conduct activities for a Phase II clinical trial to assess the safety and efficacy of Tafenoquine for the treatment of mild to moderate COVID-19 disease, with the goal of delivering Tafenoquine with an FDA Emergency Use Authorization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(“EUA”) approved as a countermeasure against COVID-19. The total amount of the OTAP Agreement is $4,999,814. The term of the OTAP Agreement commenced on December 4, 2020, and was completed in the third quarter of 2022. The U.S. government may terminate the OTAP Agreement for any or no reason by providing us with at least thirty (30) calendar days’ prior written notice. Pursuant to the OTAP Agreement, we will not offer, sell or otherwise provide the EUA or licensed version of the prototype (Tafenoquine) that is FDA approved for COVID-19 or any like product to any entity at a price lower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that offered to the DoD, which applies only to products sold in the U.S., European Union and Canada related to COVID-19.</w:t>
      </w:r>
    </w:p>
    <w:p>
      <w:pPr>
        <w:spacing w:after="0" w:line="1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15, 2021, we entered into the Inter-Institutional Agreement with FSURF (the “FSURF Agreement”) in which FSURF granted us the right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 the licensing of intellectual property created at FSURF. The term of the FSURF Agreement expires five years from February 15, 2021. After deduction of a 5% administrative fee by FSURF, capped at $15,000 annually, and reimbursement of patent prosecution expenses, we will receive 20% of license income and FSURF will receive 80% of license income. Payments of license income shall be paid in U.S. dollars quarterly each year. On February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19, 2021, we entered into an agreement with FSURF, subsequently amended on February 15, 2023, and effective on March 24, 2025, that collectively granted an option, effective through March 23, 2026, to us to license methods for purifying castanospermine and its use for the treatment of COVID-19. On August 19, 2021, we entered into an agreement with FSURF, subsequently amended on February 15, 2023, and effective on March 24, 2025, that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collectively granted an option, effective through March 23, 2026, to us to license a patent relating to the use of alpha glucosidase inhibitors (including castanospermine and Celgosivir) for treatment of Zika infections.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January 9, 2023, and subsequently amended, we entered into a Debt Conversion Agreement with Knight Therapeutics, Inc. (“Knight”). Among other things, this agreement requires us to pay Knight a quarterly royalty equal to 3.5% of Net Sales, where Net Sales has the same meaning as in the U.S. Army Agreement described above. Royalties due to Knight commenced upon the closing of our IPO in July 2023 and will end on the earlier of (i) July 12, 2033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(ii) the conversion or redemption in full of all of the shares of Series A Preferred Stock held by Knight.</w:t>
      </w:r>
    </w:p>
    <w:p>
      <w:pPr>
        <w:spacing w:after="0" w:line="1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20, 2024, we entered into a Patent License Agreement with Tufts Medical Center (“Tufts MC”), pursuant to which Tufts MC granted us a license to research and commercialize certain patent applications covering jointly developed inventions related to the use of tafenoquine for treatment and/or prevention of babesiosis. The term of the agreement will continue until the expiration or final abandonment of the last patent application or issued patent for the use of tafenoquine for treatment and/or prevention of babesiosis, unless terminated earlier by the parties. On the earlier of (x) the date of patent issuance or (y) the date of regulatory approval for the use of tafenoquine product in treatment of babesiosis, we must make royalty payments equal to 4% of net sales of tafenoquine products sold in a format labeled for use in the treatment of babesiosis or 2% of net sales of tafenoquine products that are sold in a format not labeled for use in the treatment of babesiosis. In addition, for all sublicense revenue received by us from sales of sublicensed products, we must make payments equal to 20% of the revenue we receive for sales of tafenoquine products sold in a format labeled for use in the treatment of babesiosis or 10% of the revenue we receive for sales of tafenoquine that are sold in a format not labeled for use in the treatment of babesiosis.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3, 2025, we entered into an Agreement with Yale University (“Yale”) pursuant to which Yale has granted us an exclusive, worldwide license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make, have made, use, sell, have sold, import, or practice certain patents and patent applications covering jointly developed inventions related to the treatment of babesiosis using Tafenoquine within the field of using Tafenoquine to treat babesiosis. Yale retains the right to use the inventions for research, clinical, teaching, or other non-commercial purposes. In exchange for the license granted to Yale to us, we agreed to pay Yale a royalty of 2% on net sales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 licensed products covering the licensed patents if the licensed produce it branded for treatment of babesiosis and a royalty of 1% on net sales if licensed products covering the licensed product is not specifically branded for treatment of babesiosis.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On April 4, 2025, we entered into an Option Agreement with FSURF, pursuant to which FSURF granted us a 12-month option to exclusively license certain patent and technology rights held by FSURF relating to large scale purification of castanospermine, including U.S. Patent No 11,518,762, while we assess the potential feasibility of commercializing Australian Chestnut Tree extracts. We exercised the option in February 2026, and are now negotiating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license.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own or operate manufacturing facilities for the production of clinical or commercial quantities of our product candidates.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Australian Research Tax Credit and Overseas Finding Process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Section 27 of the Industry Research and Development Act 1986</w:t>
      </w:r>
      <w:r>
        <w:rPr>
          <w:rFonts w:ascii="Times New Roman" w:cs="Times New Roman" w:eastAsia="Times New Roman" w:hAnsi="Times New Roman"/>
          <w:sz w:val="24"/>
          <w:szCs w:val="24"/>
          <w:color w:val="auto"/>
          <w:vertAlign w:val="superscript"/>
        </w:rPr>
        <w:t>38</w:t>
      </w:r>
      <w:r>
        <w:rPr>
          <w:rFonts w:ascii="Times New Roman" w:cs="Times New Roman" w:eastAsia="Times New Roman" w:hAnsi="Times New Roman"/>
          <w:sz w:val="18"/>
          <w:szCs w:val="18"/>
          <w:color w:val="auto"/>
        </w:rPr>
        <w:t>, the Australian government offers a research tax credit of 43.5% on registered</w:t>
      </w:r>
    </w:p>
    <w:p>
      <w:pPr>
        <w:jc w:val="both"/>
        <w:spacing w:after="0" w:line="218" w:lineRule="auto"/>
        <w:rPr>
          <w:sz w:val="20"/>
          <w:szCs w:val="20"/>
          <w:color w:val="auto"/>
        </w:rPr>
      </w:pPr>
      <w:r>
        <w:rPr>
          <w:rFonts w:ascii="Times New Roman" w:cs="Times New Roman" w:eastAsia="Times New Roman" w:hAnsi="Times New Roman"/>
          <w:sz w:val="18"/>
          <w:szCs w:val="18"/>
          <w:color w:val="auto"/>
        </w:rPr>
        <w:t>research and development activities executed in Australia by eligible Australian domiciled entities. Companies are eligible to receive tax credits if they meet the following criteria: (i) are domiciled in Australia, (ii) have incurred at least $20,000 in eligible research and development expenses, (iii) have conducted at least one eligible research and development activity, (iv) beneficial owner(s) with &gt; 40 % beneficial ownership when considered together do</w:t>
      </w:r>
    </w:p>
    <w:p>
      <w:pPr>
        <w:sectPr>
          <w:pgSz w:w="11900" w:h="16838" w:orient="portrait"/>
          <w:cols w:equalWidth="0" w:num="1">
            <w:col w:w="11240"/>
          </w:cols>
          <w:pgMar w:left="320" w:top="283" w:right="339" w:bottom="0" w:gutter="0" w:footer="0" w:header="0"/>
        </w:sectPr>
      </w:pPr>
    </w:p>
    <w:bookmarkStart w:id="15" w:name="page16"/>
    <w:bookmarkEnd w:id="15"/>
    <w:p>
      <w:pPr>
        <w:spacing w:after="0" w:line="7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not have &gt; $20 million AUD aggregated turnover on an annual basis. 60P Australia Pty Ltd. meets all these criteria, and will continue to do so in the future unless, considered together with any of our shareholders who have &gt; 40% beneficial ownership, have &gt; $20 million AUD in aggregate annual turnover.</w:t>
      </w:r>
    </w:p>
    <w:p>
      <w:pPr>
        <w:spacing w:after="0" w:line="166" w:lineRule="exact"/>
        <w:rPr>
          <w:sz w:val="20"/>
          <w:szCs w:val="20"/>
          <w:color w:val="auto"/>
        </w:rPr>
      </w:pPr>
    </w:p>
    <w:p>
      <w:pPr>
        <w:spacing w:after="0" w:line="200" w:lineRule="auto"/>
        <w:rPr>
          <w:sz w:val="20"/>
          <w:szCs w:val="20"/>
          <w:color w:val="auto"/>
        </w:rPr>
      </w:pPr>
      <w:r>
        <w:rPr>
          <w:rFonts w:ascii="Times New Roman" w:cs="Times New Roman" w:eastAsia="Times New Roman" w:hAnsi="Times New Roman"/>
          <w:sz w:val="18"/>
          <w:szCs w:val="18"/>
          <w:color w:val="auto"/>
        </w:rPr>
        <w:t>Under Section 28D of the Industry Research and Development Act 1986</w:t>
      </w:r>
      <w:r>
        <w:rPr>
          <w:rFonts w:ascii="Times New Roman" w:cs="Times New Roman" w:eastAsia="Times New Roman" w:hAnsi="Times New Roman"/>
          <w:sz w:val="24"/>
          <w:szCs w:val="24"/>
          <w:color w:val="auto"/>
          <w:vertAlign w:val="superscript"/>
        </w:rPr>
        <w:t>39</w:t>
      </w:r>
      <w:r>
        <w:rPr>
          <w:rFonts w:ascii="Times New Roman" w:cs="Times New Roman" w:eastAsia="Times New Roman" w:hAnsi="Times New Roman"/>
          <w:sz w:val="18"/>
          <w:szCs w:val="18"/>
          <w:color w:val="auto"/>
        </w:rPr>
        <w:t>, research and development activities conducted outside Australia are also potentially eligible if they meet the following criteria: (i) they are approved in advance, (ii) they are linked to a core research and development activity</w:t>
      </w:r>
    </w:p>
    <w:p>
      <w:pPr>
        <w:spacing w:after="0" w:line="2" w:lineRule="exact"/>
        <w:rPr>
          <w:sz w:val="20"/>
          <w:szCs w:val="20"/>
          <w:color w:val="auto"/>
        </w:rPr>
      </w:pPr>
    </w:p>
    <w:p>
      <w:pPr>
        <w:ind w:right="20"/>
        <w:spacing w:after="0" w:line="226" w:lineRule="auto"/>
        <w:rPr>
          <w:sz w:val="20"/>
          <w:szCs w:val="20"/>
          <w:color w:val="auto"/>
        </w:rPr>
      </w:pPr>
      <w:r>
        <w:rPr>
          <w:rFonts w:ascii="Times New Roman" w:cs="Times New Roman" w:eastAsia="Times New Roman" w:hAnsi="Times New Roman"/>
          <w:sz w:val="18"/>
          <w:szCs w:val="18"/>
          <w:color w:val="auto"/>
        </w:rPr>
        <w:t>conducted in Australia, (iii) cannot be conducted in Australia for various reasons and (iv) the value of activities conducted overseas is less than the value of activities conducted in Australia.</w:t>
      </w:r>
    </w:p>
    <w:p>
      <w:pPr>
        <w:spacing w:after="0" w:line="333" w:lineRule="exact"/>
        <w:rPr>
          <w:sz w:val="20"/>
          <w:szCs w:val="20"/>
          <w:color w:val="auto"/>
        </w:rPr>
      </w:pPr>
    </w:p>
    <w:p>
      <w:pPr>
        <w:ind w:left="380" w:hanging="372"/>
        <w:spacing w:after="0"/>
        <w:tabs>
          <w:tab w:leader="none" w:pos="3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Industry Research and Development Act 1986 (legislation.gov.au).</w:t>
      </w:r>
    </w:p>
    <w:p>
      <w:pPr>
        <w:spacing w:after="0" w:line="15" w:lineRule="exact"/>
        <w:rPr>
          <w:rFonts w:ascii="Times New Roman" w:cs="Times New Roman" w:eastAsia="Times New Roman" w:hAnsi="Times New Roman"/>
          <w:sz w:val="12"/>
          <w:szCs w:val="12"/>
          <w:color w:val="auto"/>
        </w:rPr>
      </w:pPr>
    </w:p>
    <w:p>
      <w:pPr>
        <w:ind w:left="380" w:hanging="372"/>
        <w:spacing w:after="0"/>
        <w:tabs>
          <w:tab w:leader="none" w:pos="38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See Australian Government R&amp;D Tax Incentive - Overseas R&amp;D: Information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214312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Government Regulation and Product Approvals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Review and Approval of Drugs in the United States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the FDA regulates, among other things, the research, development, testing, manufacturing, approval, labeling, storage, recordkeeping,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advertising, promotion and marketing, distribution, post approval monitoring and reporting and import and export of drugs in the U.S. to assure the safety and effectiveness of medical products for their intended use under the Federal Food, Drug, and Cosmetic Act (“FDCA”), and implementing regulations. The failure to comply with applicable U.S. requirements at any time during the product development process, approval process or after approval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an applicant and/or sponsor to a variety of administrative or judicial sanctions, including refusal by the FDA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denial of the ability to import and export certain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restitution, disgorgement of profits, or civil or criminal investigations and penalties brought by the FDA and the Department of Justice or other governmental entities.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applicant seeking approval to market and distribute a new drug product in the United States must typically undertake the following:</w:t>
      </w:r>
    </w:p>
    <w:p>
      <w:pPr>
        <w:spacing w:after="0" w:line="144"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completion of preclinical laboratory tests, animal studies and formulation studies in compliance with the FDA’s good laboratory practice regulations;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submission to the FDA of an IND, which must take effect before human clinical trials may begin;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approval by an independent institutional review board representing each clinical site before each clinical trial may be initiated;</w:t>
      </w:r>
    </w:p>
    <w:p>
      <w:pPr>
        <w:spacing w:after="0" w:line="144"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practices to establish the safety and efficacy of the proposed drug product for each indication;</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preparation and submission to the FDA of a new drug application;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review of the product by an FDA advisory committee, where appropriate or if applicable;</w:t>
      </w:r>
    </w:p>
    <w:p>
      <w:pPr>
        <w:spacing w:after="0" w:line="157" w:lineRule="exact"/>
        <w:rPr>
          <w:sz w:val="20"/>
          <w:szCs w:val="20"/>
          <w:color w:val="auto"/>
        </w:rPr>
      </w:pPr>
    </w:p>
    <w:p>
      <w:pPr>
        <w:ind w:left="660" w:firstLine="57"/>
        <w:spacing w:after="0" w:line="226" w:lineRule="auto"/>
        <w:rPr>
          <w:sz w:val="20"/>
          <w:szCs w:val="20"/>
          <w:color w:val="auto"/>
        </w:rPr>
      </w:pPr>
      <w:r>
        <w:rPr>
          <w:rFonts w:ascii="Times New Roman" w:cs="Times New Roman" w:eastAsia="Times New Roman" w:hAnsi="Times New Roman"/>
          <w:sz w:val="18"/>
          <w:szCs w:val="18"/>
          <w:color w:val="auto"/>
        </w:rPr>
        <w:t>satisfactory completion of one or more FDA inspections of the manufacturing facility or facilities at which the product, or components thereof, are produced to assess compliance with cGMP, requirements and to assure that the facilities, methods and controls are adequate to preserve the product’s identity, strength, quality and purity;</w:t>
      </w:r>
    </w:p>
    <w:p>
      <w:pPr>
        <w:spacing w:after="0" w:line="130" w:lineRule="exact"/>
        <w:rPr>
          <w:sz w:val="20"/>
          <w:szCs w:val="20"/>
          <w:color w:val="auto"/>
        </w:rPr>
      </w:pPr>
    </w:p>
    <w:p>
      <w:pPr>
        <w:ind w:left="720" w:right="1260"/>
        <w:spacing w:after="0" w:line="414" w:lineRule="auto"/>
        <w:rPr>
          <w:sz w:val="20"/>
          <w:szCs w:val="20"/>
          <w:color w:val="auto"/>
        </w:rPr>
      </w:pPr>
      <w:r>
        <w:rPr>
          <w:rFonts w:ascii="Times New Roman" w:cs="Times New Roman" w:eastAsia="Times New Roman" w:hAnsi="Times New Roman"/>
          <w:sz w:val="18"/>
          <w:szCs w:val="18"/>
          <w:color w:val="auto"/>
        </w:rPr>
        <w:t>satisfactory completion of FDA audits of clinical trial sites to assure compliance with GCPs and the integrity of the clinical data; payment of user fees and securing FDA approval of the NDA; and</w:t>
      </w:r>
    </w:p>
    <w:p>
      <w:pPr>
        <w:spacing w:after="0" w:line="1"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compliance with any post-approval requirements, including Risk Evaluation and Mitigation Strategies and post-approval studies required by the FDA.</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Preclinical Studies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Preclinical studies include laboratory evaluation of the purity and stability of the manufactured drug substance or active pharmaceutical ingredient and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formulated drug or drug product, as well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animal studies to assess the safety and activity of the drug for initial testing in humans and to establish a rationale for therapeutic use. The conduct of preclinical studies is subject to federal regulations and requirements, including GLP regulations. The results of the preclinical tests, together with manufacturing information, analytical data, any available clinical data or literature and plans for clinical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trials, among other things, are submitted to the FDA as part of an IND. Some long-term preclinical testing, such as animal tests of reproductive adverse events and carcinogenicity, may continue after the IND is submitted.</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Companies usually must complete some long-term preclinical testing, such as animal tests of reproductive adverse events and carcinogenicity, and must also develop additional information about the chemistry and physical characteristics of the investigational product and finalize a process for manufacturing the product in commercial quantities in accordance with cGMP requirements. The manufacturing process must be capable of consistently producing quality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batches of the product candidate and, among other things, the manufacturer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IND and IRB Processes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An IND is an exemption from the FDCA that allows an unapproved drug to be shipped in interstate commerce for use in an investigational clinical trial and a request for FDA authorization to administer an investigational drug to humans. Such authorization must be secured prior to interstate shipment and administration of any new drug that is not the subject of an approved NDA. In support of a request for an IND, applicants must submit a protocol for each</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clinical trial and any subsequent protocol amendments must be submitted to the FDA as part of the IND. In addition, the results of the preclinical tests, together with manufacturing information, analytical data, any available clinical data or literature and plans for clinical trials, among other things, are submitted to the FDA as part of an IND. The FDA requires a 30-day waiting period after the filing of each IND before clinical trials may begin.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waiting period is designed to allow the FDA to review the IND to determine whether human research subjects will be exposed to unreasonable health risks.</w:t>
      </w:r>
    </w:p>
    <w:p>
      <w:pPr>
        <w:sectPr>
          <w:pgSz w:w="11900" w:h="16911" w:orient="portrait"/>
          <w:cols w:equalWidth="0" w:num="1">
            <w:col w:w="11240"/>
          </w:cols>
          <w:pgMar w:left="320" w:top="108" w:right="339" w:bottom="0" w:gutter="0" w:footer="0" w:header="0"/>
        </w:sectPr>
      </w:pPr>
    </w:p>
    <w:bookmarkStart w:id="16" w:name="page17"/>
    <w:bookmarkEnd w:id="16"/>
    <w:p>
      <w:pPr>
        <w:jc w:val="both"/>
        <w:spacing w:after="0" w:line="237" w:lineRule="auto"/>
        <w:rPr>
          <w:sz w:val="20"/>
          <w:szCs w:val="20"/>
          <w:color w:val="auto"/>
        </w:rPr>
      </w:pPr>
      <w:r>
        <w:rPr>
          <w:rFonts w:ascii="Times New Roman" w:cs="Times New Roman" w:eastAsia="Times New Roman" w:hAnsi="Times New Roman"/>
          <w:sz w:val="18"/>
          <w:szCs w:val="18"/>
          <w:color w:val="auto"/>
        </w:rPr>
        <w:t>At any time during this 30-day period, the FDA may raise concerns or questions about the conduct of the trials as outlined in the IND and impose a clinical hold. In this case, the IND sponsor and the FDA must resolve any outstanding concerns before clinical trials can begin.</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commencement of a clinical trial under an IND, the FDA may also place a clinical hold or partial clinical hold on that trial. A clinical hold is an order issued by the FDA to the sponsor to delay a proposed clinical investigation or to suspend an ongoing investigation. A partial clinical hold is a delay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 suspension of only part of the clinical work requested under the IND. For example, a specific protocol or part of a protocol is not allowed to proceed, while other protocols may do so. No more than 30 days after imposition of a clinical hold or partial clinical hold, the FDA will provide the sponsor a written explanation of the basis for the hold.</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Following issuance of a clinical hold or partial clinical hold, an investigation may only resume after the FDA has notified the sponsor that the investigation may proceed. The FDA will base that determination on information provided by the sponsor correcting the deficiencies previously cited or otherwise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satisfying the FDA that the investigation can proceed.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sponsor may choose, but is not required, to conduct a foreign clinical study under an IND. When a foreign clinical study is conducted under an IND, all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FDA IND requirements must be met unless waived. When the foreign clinical study is not conducted under an IND, the sponsor must ensure that the study complies with certain FDA requirements in order to use the study as support for an IND or application for marketing approval.</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to the IND requirements, an IRB representing each institution participating in the clinical trial must review and approve the plan for any clinical trial before it commences at that institution, and the IRB must conduct continuing review and reapprove the study at least annually. The IRB must review and approve, among other things, the study protocol and informed consent information to be provided to study subjects. An IRB must operate in</w:t>
      </w:r>
    </w:p>
    <w:p>
      <w:pPr>
        <w:spacing w:after="0" w:line="1"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Additionally, some trials are overseen by an independent group of qualified experts organized by the trial sponsor, known as a data safety monitoring board or committee. This group provides authorization for whether or not a trial may move forward at designated check points based on access that only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group maintains to available data from the study. Suspension or termination of development during any phase of clinical trials can occur if it is determined that the participants or patients are being exposed to an unacceptable health risk. Other reasons for suspension or termination may be made by us based on evolving business objectives and/or competitive climate.</w:t>
      </w:r>
    </w:p>
    <w:p>
      <w:pPr>
        <w:spacing w:after="0" w:line="13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 xml:space="preserve">Information about certain clinical trials must be submitted within specific timeframes to the National Institutes of Health, for public dissemination on its </w:t>
      </w:r>
      <w:r>
        <w:rPr>
          <w:rFonts w:ascii="Times New Roman" w:cs="Times New Roman" w:eastAsia="Times New Roman" w:hAnsi="Times New Roman"/>
          <w:sz w:val="18"/>
          <w:szCs w:val="18"/>
          <w:i w:val="1"/>
          <w:iCs w:val="1"/>
          <w:color w:val="auto"/>
        </w:rPr>
        <w:t xml:space="preserve">ClinicalTrials.gov </w:t>
      </w:r>
      <w:r>
        <w:rPr>
          <w:rFonts w:ascii="Times New Roman" w:cs="Times New Roman" w:eastAsia="Times New Roman" w:hAnsi="Times New Roman"/>
          <w:sz w:val="18"/>
          <w:szCs w:val="18"/>
          <w:color w:val="auto"/>
        </w:rPr>
        <w:t>website.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Human Clinical Studies in Support of an NDA</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requirements, which include, among other things, the requirement that all research subjects provide their informed consent in writing before their participation in any clinical trial. Clinical trials are conducted under written study protocols detailing, among other things, the inclusion and exclusion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criteria, the objectives of the study, the parameters to be used in monitoring safety and the effectiveness criteria to be evaluated.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the following sequential phases, which may overlap or be combined:</w:t>
      </w:r>
    </w:p>
    <w:p>
      <w:pPr>
        <w:spacing w:after="0" w:line="158" w:lineRule="exact"/>
        <w:rPr>
          <w:sz w:val="20"/>
          <w:szCs w:val="20"/>
          <w:color w:val="auto"/>
        </w:rPr>
      </w:pPr>
    </w:p>
    <w:p>
      <w:pPr>
        <w:ind w:left="660" w:right="20" w:firstLine="57"/>
        <w:spacing w:after="0" w:line="231" w:lineRule="auto"/>
        <w:rPr>
          <w:sz w:val="20"/>
          <w:szCs w:val="20"/>
          <w:color w:val="auto"/>
        </w:rPr>
      </w:pPr>
      <w:r>
        <w:rPr>
          <w:rFonts w:ascii="Times New Roman" w:cs="Times New Roman" w:eastAsia="Times New Roman" w:hAnsi="Times New Roman"/>
          <w:sz w:val="18"/>
          <w:szCs w:val="18"/>
          <w:color w:val="auto"/>
        </w:rPr>
        <w:t>Phase 1: The drug is initially introduced into healthy human subjects or, in certain indications such as cancer, patients with the target disease or condition and tested for safety, dosage tolerance, absorption, metabolism, distribution, excretion and, if possible, to gain an early indication of its effectiveness and to determine optimal dosage.</w:t>
      </w:r>
    </w:p>
    <w:p>
      <w:pPr>
        <w:spacing w:after="0" w:line="117"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Phase 2: The drug is administered to a limited patient population to identify possible adverse effects and safety risks, to preliminarily evaluate the efficacy of the product for specific targeted diseases and to determine dosage tolerance and optimal dosage.</w:t>
      </w:r>
    </w:p>
    <w:p>
      <w:pPr>
        <w:spacing w:after="0" w:line="108" w:lineRule="exact"/>
        <w:rPr>
          <w:sz w:val="20"/>
          <w:szCs w:val="20"/>
          <w:color w:val="auto"/>
        </w:rPr>
      </w:pPr>
    </w:p>
    <w:p>
      <w:pPr>
        <w:ind w:left="660" w:firstLine="57"/>
        <w:spacing w:after="0" w:line="231" w:lineRule="auto"/>
        <w:rPr>
          <w:sz w:val="20"/>
          <w:szCs w:val="20"/>
          <w:color w:val="auto"/>
        </w:rPr>
      </w:pPr>
      <w:r>
        <w:rPr>
          <w:rFonts w:ascii="Times New Roman" w:cs="Times New Roman" w:eastAsia="Times New Roman" w:hAnsi="Times New Roman"/>
          <w:sz w:val="18"/>
          <w:szCs w:val="18"/>
          <w:color w:val="auto"/>
        </w:rPr>
        <w:t>Phase 3: The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131" w:lineRule="exact"/>
        <w:rPr>
          <w:sz w:val="20"/>
          <w:szCs w:val="20"/>
          <w:color w:val="auto"/>
        </w:rPr>
      </w:pPr>
    </w:p>
    <w:p>
      <w:pPr>
        <w:ind w:left="660" w:firstLine="57"/>
        <w:spacing w:after="0" w:line="237" w:lineRule="auto"/>
        <w:rPr>
          <w:sz w:val="20"/>
          <w:szCs w:val="20"/>
          <w:color w:val="auto"/>
        </w:rPr>
      </w:pPr>
      <w:r>
        <w:rPr>
          <w:rFonts w:ascii="Times New Roman" w:cs="Times New Roman" w:eastAsia="Times New Roman" w:hAnsi="Times New Roman"/>
          <w:sz w:val="18"/>
          <w:szCs w:val="18"/>
          <w:color w:val="auto"/>
        </w:rPr>
        <w:t>Phase 4: Post-approval studies, which are conducted following initial approval, are typically conducted to gain additional experience and data from treatment of patients in the intended therapeutic indication.</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 xml:space="preserve">Progress reports detailing the results of the clinical trials must be submitted at least annually to the FDA and more frequently if serious adverse events occur. In addition, IND safety reports must be submitted to the FDA for any of the following: serious and unexpected suspected adverse reactions;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drug; and any clinically important increase in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case of a serious suspected adverse reaction over that listed in the protocol or investigator brochure. Phase 1, Phase 2 and Phase 3 clinical trials may not be completed successfully within any specified period, or at all. Furthermore, the FDA or the sponsor may suspend or terminate a clinical trial at any time on various grounds, including a finding that the research subjects are being exposed to an unacceptable health risk. Similarly, an IRB can suspend or terminate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approval of a clinical trial at its institution, or an institution it represents, if the clinical trial is not being conducted in accordance with the IRB’s requirements or if the drug has been associated with unexpected serious harm to patients. The FDA will typically inspect one or more clinical sites to assure compliance with GCP and the integrity of the clinical data submitted.</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Concurrent with clinical trials, companies often complete additional animal studies and must also develop additional information about the chemistry and physical characteristics of the drug as well as finalize a process for manufacturing the product in commercial quantities in accordance with cGMP</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requirements. The manufacturing process must be capable of consistently producing quality batches of the drug candidate and, among other things, must develop methods for testing the identity, strength, quality, purity, and potency of the final drug. Additionally, appropriate packaging must be selected and tested and stability studies must be conducted to demonstrate that the drug candidate does not undergo unacceptable deterioration over its shelf life.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Submission of an NDA to the FDA</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Assuming successful completion of required clinical testing and other requirements, the results of the preclinical studies and clinical trials, together with detailed information relating to the product’s chemistry, manufacture, controls and proposed labeling, among other things, are submitted to the FDA as part of an NDA requesting approval to market the drug product for one or more indications. Under federal law, the submission of most NDAs is additionally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subject to an application user fee and the sponsor of an approved NDA is also subject to annual product and establishment user fees. These fees are typically increased annually. Certain exceptions and waivers are available for some of these fees, such as an exception from the application fee for products with orphan designation and a waiver for certain small businesses, an exception from the establishment fee when the establishment does not engage 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manufacturing the product during a particular fiscal year, and an exception from the product fee for a product that is the same as another product approved under an abbreviated pathway.</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 conducts a preliminary review of an NDA within 60 days of its receipt and strives to inform the sponsor by the 74th day after the FDA’s receipt of the submission to determine whether the application is sufficiently complete to permit substantive review. The FDA may request additional information rather than accept an NDA for filing. In this event, the application must be resubmitted with additional information. The resubmitted application is also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subject to review before the FDA accepts it for filing. Once the submission is accepted for filing, the FDA begins an in-depth substantive review. The FDA has agreed to certain performance goals in the review process of NDAs. Most such applications are meant to be reviewed within ten months from the date</w:t>
      </w:r>
    </w:p>
    <w:p>
      <w:pPr>
        <w:sectPr>
          <w:pgSz w:w="11900" w:h="16838" w:orient="portrait"/>
          <w:cols w:equalWidth="0" w:num="1">
            <w:col w:w="11240"/>
          </w:cols>
          <w:pgMar w:left="320" w:top="108" w:right="339" w:bottom="0" w:gutter="0" w:footer="0" w:header="0"/>
        </w:sectPr>
      </w:pPr>
    </w:p>
    <w:bookmarkStart w:id="17" w:name="page18"/>
    <w:bookmarkEnd w:id="17"/>
    <w:p>
      <w:pPr>
        <w:jc w:val="both"/>
        <w:spacing w:after="0" w:line="223" w:lineRule="auto"/>
        <w:rPr>
          <w:sz w:val="20"/>
          <w:szCs w:val="20"/>
          <w:color w:val="auto"/>
        </w:rPr>
      </w:pPr>
      <w:r>
        <w:rPr>
          <w:rFonts w:ascii="Times New Roman" w:cs="Times New Roman" w:eastAsia="Times New Roman" w:hAnsi="Times New Roman"/>
          <w:sz w:val="18"/>
          <w:szCs w:val="18"/>
          <w:color w:val="auto"/>
        </w:rPr>
        <w:t>of filing, and most applications for “priority review” products are meant to be reviewed within six months of filing. The review process may be extended by the FDA for three additional months to consider new information or clarification provided by the applicant to address an outstanding deficiency</w:t>
      </w:r>
    </w:p>
    <w:p>
      <w:pPr>
        <w:spacing w:after="0"/>
        <w:rPr>
          <w:sz w:val="20"/>
          <w:szCs w:val="20"/>
          <w:color w:val="auto"/>
        </w:rPr>
      </w:pPr>
      <w:r>
        <w:rPr>
          <w:rFonts w:ascii="Times New Roman" w:cs="Times New Roman" w:eastAsia="Times New Roman" w:hAnsi="Times New Roman"/>
          <w:sz w:val="18"/>
          <w:szCs w:val="18"/>
          <w:color w:val="auto"/>
        </w:rPr>
        <w:t>identified by the FDA following the original submission.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or will be manufactured. These pre-approval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inspections may cover all facilities associated with an NDA submission, including drug component manufacturing (such as active pharmaceutical ingredients), finished drug product manufacturing, and control testing laboratories. The FDA will not approve an application unless it determines that the manufacturing processes and facilities comply with cGMP requirements and adequate to assure consistent production of the product within required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specifications. Additionally, before approving an NDA, the FDA will typically inspect one or more clinical sites to assure compliance with GCP. Under the FDA Reauthorization Act of 2017 (“FDARA”), the FDA must implement a protocol to expedite review of responses to inspection reports pertaining to certain drug applications, including applications for drugs in a shortage or drugs for which approval is dependent on remediation of conditions identified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inspection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as a condition of approval, the FDA may require an applicant to develop a REMS. REMS use risk minimization strategies beyond professional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labeling to ensure that the benefits of the product outweigh the potential risks. To determine whether a REMS is needed, the FDA will consider the size of the population likely to use the product, seriousness of the disease, expected benefit of the product, expected duration of treatment, seriousness of known or potential adverse events, and whether the product is a new molecular entity. REMS can include medication guides, physician communication plans for</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healthcare professionals, and elements to assure safe use, or ETASU. ETASU may include, but is not limited to, special training or certification for prescribing or dispensing, dispensing only under certain circumstances, special monitoring, and the use of patient registries. The FDA may require a REMS before approval or post-approval if it becomes aware of a serious risk associated with use of the product. The requirement for a REMS can materially affect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potential market and profitability of a product.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or explain why such referral was not made. Typically, an advisory committee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Fast-Track, Breakthrough Therapy and Priority Review Designations</w:t>
      </w:r>
    </w:p>
    <w:p>
      <w:pPr>
        <w:spacing w:after="0" w:line="16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FDA is authorized to designate certain products for expedited review if they are intended to address an unmet medical need in the treatment of a serious or life-threatening disease or condition. These programs are referred to as fast-track designation, breakthrough therapy designation and priority review designation.</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Specifically, the FDA may designate a product for fast-track review if it is intended, whether alone or in combination with one or more other products, for the treatment of a serious or life-threatening disease or condition, and it demonstrates the potential to address unmet medical needs for such a disease or condition. For fast-track products, sponsors may have greater interactions with the FDA and the FDA may initiate review of sections of a fast-track</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application before the application is complete. This rolling review may be available if the FDA determines, after preliminary evaluation of clinical data submitted by the sponsor, that a fast-track product may be effective. The sponsor must also provide, and the FDA must approve, a schedule for the submission of the remaining information and the sponsor must pay applicable user fees. However, the FDA’s time period goal for reviewing a fast-track</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application does not begin until the last section of the application is submitted. In addition, the fast track designation may be withdrawn by the FDA if the FDA believes that the designation is no longer supported by data emerging in the clinical trial process.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Second, a product may be designated as a breakthrough therapy if it is intended, either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FDA</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Third, the FDA may designate a product for priority review if it is a product that treats a serious condition and, if approved, would provide a significant improvement in safety or effectiveness. The FDA determines, on a case-by-case basis, whether the proposed product represents a significant improvement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when compared with other available therapies. Significant improvement may be illustrated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designation is intended to direct overall</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attention and resources to the evaluation of such applications, and to shorten the FDA’s goal for taking action on a marketing application from ten months to six months.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Tropical Disease PRVs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Tropical Disease Priority Review Voucher (“PRV”) program was created by Congress under the Food and Drug Administration Amendments Act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2007 (“FDAAA”) in order to encourage innovation and public access to new medicines. Pursuant to Section 1102 of FDAAA, which amended section 524 of the Federal Food, Drug, and Cosmetic Act (“FFDCA”), along with later amendments, the FDA must award a PRV to certain applicants that obtain an approved NDA to treat certain tropical diseases. Congress later expanded the scope of diseases that were eligible for a PRV (e.g., a PRV for obtaining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approval for a drug to treat rare pediatric diseases). A PRV entitles the holder of the voucher to designate a different drug application as qualifying for priority review from FDA. When a drug application is designated for priority review through use of a priority review voucher, that application must be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reviewed by FDA no later than 6 months after receipt.</w:t>
      </w:r>
      <w:r>
        <w:rPr>
          <w:rFonts w:ascii="Times New Roman" w:cs="Times New Roman" w:eastAsia="Times New Roman" w:hAnsi="Times New Roman"/>
          <w:sz w:val="24"/>
          <w:szCs w:val="24"/>
          <w:color w:val="auto"/>
          <w:vertAlign w:val="superscript"/>
        </w:rPr>
        <w:t>40</w:t>
      </w:r>
      <w:r>
        <w:rPr>
          <w:rFonts w:ascii="Times New Roman" w:cs="Times New Roman" w:eastAsia="Times New Roman" w:hAnsi="Times New Roman"/>
          <w:sz w:val="18"/>
          <w:szCs w:val="18"/>
          <w:color w:val="auto"/>
        </w:rPr>
        <w:t xml:space="preserve"> This guarantees a much more rapid review by FDA compared to the standard review time.</w:t>
      </w:r>
    </w:p>
    <w:p>
      <w:pPr>
        <w:spacing w:after="0" w:line="9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Tropical disease PRVs were created under the FDAAA to encourage pharmaceutical companies to develop treatments for specific neglected tropical diseases. As defined by the statute, tropical diseases refer to certain “infectious disease[s] for which there is no significant market in developed nations and</w:t>
      </w:r>
    </w:p>
    <w:p>
      <w:pPr>
        <w:spacing w:after="0" w:line="1"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8"/>
          <w:szCs w:val="18"/>
          <w:color w:val="auto"/>
        </w:rPr>
        <w:t>that disproportionately affects poor and marginalized populations.”</w:t>
      </w:r>
      <w:r>
        <w:rPr>
          <w:rFonts w:ascii="Times New Roman" w:cs="Times New Roman" w:eastAsia="Times New Roman" w:hAnsi="Times New Roman"/>
          <w:sz w:val="24"/>
          <w:szCs w:val="24"/>
          <w:color w:val="auto"/>
          <w:vertAlign w:val="superscript"/>
        </w:rPr>
        <w:t>41</w:t>
      </w:r>
      <w:r>
        <w:rPr>
          <w:rFonts w:ascii="Times New Roman" w:cs="Times New Roman" w:eastAsia="Times New Roman" w:hAnsi="Times New Roman"/>
          <w:sz w:val="18"/>
          <w:szCs w:val="18"/>
          <w:color w:val="auto"/>
        </w:rPr>
        <w:t xml:space="preserve"> Because tropical diseases occur rarely in the United States, obtaining approval from the FDA for treating these diseases would normally be unprofitable for pharmaceutical companies due to the limited domestic market and the scope and significant financial costs of the post-marketing requirements imposed by FDA. Congress intended to incentivize companies to turn their attentions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tropical diseases by providing a PRV to those companies that obtained approval from FDA for a tropical disease drug product, and the granted PRV could then be sold to another company for money.</w:t>
      </w:r>
    </w:p>
    <w:p>
      <w:pPr>
        <w:spacing w:after="0" w:line="165" w:lineRule="exact"/>
        <w:rPr>
          <w:sz w:val="20"/>
          <w:szCs w:val="20"/>
          <w:color w:val="auto"/>
        </w:rPr>
      </w:pPr>
    </w:p>
    <w:p>
      <w:pPr>
        <w:ind w:right="20"/>
        <w:spacing w:after="0" w:line="346" w:lineRule="auto"/>
        <w:rPr>
          <w:sz w:val="20"/>
          <w:szCs w:val="20"/>
          <w:color w:val="auto"/>
        </w:rPr>
      </w:pPr>
      <w:r>
        <w:rPr>
          <w:rFonts w:ascii="Times New Roman" w:cs="Times New Roman" w:eastAsia="Times New Roman" w:hAnsi="Times New Roman"/>
          <w:sz w:val="18"/>
          <w:szCs w:val="18"/>
          <w:color w:val="auto"/>
        </w:rPr>
        <w:t>A PRV is an extremely valuable property interest. For example, Rhythm Pharmaceutical, Inc. announced in 2021 that it had sold a PRV for $100,000,000.</w:t>
      </w:r>
      <w:r>
        <w:rPr>
          <w:rFonts w:ascii="Times New Roman" w:cs="Times New Roman" w:eastAsia="Times New Roman" w:hAnsi="Times New Roman"/>
          <w:sz w:val="24"/>
          <w:szCs w:val="24"/>
          <w:color w:val="auto"/>
          <w:vertAlign w:val="superscript"/>
        </w:rPr>
        <w:t>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Accelerated Approval Pathway</w:t>
      </w:r>
    </w:p>
    <w:p>
      <w:pPr>
        <w:spacing w:after="0" w:line="3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The FDA may grant accelerated approval to a drug for a serious or life-threatening condition that provides meaningful therapeutic advantage to patients over existing treatments based upon a determination that the drug has an effect on a surrogate endpoint that is reasonably likely to predict clinical benefit.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FDA may also grant accelerated approval for such a condition when the product has an effect on an intermediate clinical endpoint that can be measured earlier than an effect on irreversible morbidity or mortality (“IMM”), and that is reasonably likely to predict an effect on IMM or other clinical</w:t>
      </w:r>
    </w:p>
    <w:p>
      <w:pPr>
        <w:sectPr>
          <w:pgSz w:w="11900" w:h="16838" w:orient="portrait"/>
          <w:cols w:equalWidth="0" w:num="1">
            <w:col w:w="11240"/>
          </w:cols>
          <w:pgMar w:left="320" w:top="108" w:right="339" w:bottom="0" w:gutter="0" w:footer="0" w:header="0"/>
        </w:sectPr>
      </w:pPr>
    </w:p>
    <w:bookmarkStart w:id="18" w:name="page19"/>
    <w:bookmarkEnd w:id="18"/>
    <w:p>
      <w:pPr>
        <w:jc w:val="both"/>
        <w:spacing w:after="0" w:line="237" w:lineRule="auto"/>
        <w:rPr>
          <w:sz w:val="20"/>
          <w:szCs w:val="20"/>
          <w:color w:val="auto"/>
        </w:rPr>
      </w:pPr>
      <w:r>
        <w:rPr>
          <w:rFonts w:ascii="Times New Roman" w:cs="Times New Roman" w:eastAsia="Times New Roman" w:hAnsi="Times New Roman"/>
          <w:sz w:val="18"/>
          <w:szCs w:val="18"/>
          <w:color w:val="auto"/>
        </w:rPr>
        <w:t>benefit, taking into account the severity, rarity or prevalence of the condition and the availability or lack of alternative treatments. Drugs granted accelerated approval must meet the same statutory standards for safety and effectiveness as those granted traditional approval.</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more rapidly than clinical endpoints. An intermediate clinical endpoint is a measurement of a therapeutic effect that is considered reasonably likely to predict the clinical benefit of a drug, such as an effect on IMM. There is limited experience with accelerated approvals by the FDA based on intermediate clinical endpoints. However, the FDA has indicated that such endpoints generally may support accelerated approval where the therapeutic effect measured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by the endpoint is not itself a clinical benefit and basis for traditional approval, if there is a basis for concluding that the therapeutic effect is reasonably likely to predict the ultimate clinical benefit of a drug.</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Thus, accelerated approval has been used extensively in the development and approval of drugs for treatment of a variety of cancers in which the goal of therapy is generally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to improve survival or decrease morbidity and the duration of the typical disease course requires lengthy and sometimes large trials to demonstrate a clinical or survival benefit.</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drug’s clinical benefit. As a result, a drug candidate approved on this basis is subject to rigorous post-marketing compliance requirements, including the completion of Phase 4 or post-approval clinical trials to confirm the effect on the clinical endpoint. Failure to</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w:t>
      </w:r>
    </w:p>
    <w:p>
      <w:pPr>
        <w:spacing w:after="0" w:line="144"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21 U.S.C. § 360n(a)(1).</w:t>
      </w:r>
    </w:p>
    <w:p>
      <w:pPr>
        <w:spacing w:after="0" w:line="15" w:lineRule="exact"/>
        <w:rPr>
          <w:rFonts w:ascii="Times New Roman" w:cs="Times New Roman" w:eastAsia="Times New Roman" w:hAnsi="Times New Roman"/>
          <w:sz w:val="12"/>
          <w:szCs w:val="12"/>
          <w:color w:val="auto"/>
        </w:rPr>
      </w:pPr>
    </w:p>
    <w:p>
      <w:pPr>
        <w:ind w:left="340" w:hanging="332"/>
        <w:spacing w:after="0" w:line="234" w:lineRule="auto"/>
        <w:tabs>
          <w:tab w:leader="none" w:pos="3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21 U.S.C. § 360n(a)(3).</w:t>
      </w:r>
    </w:p>
    <w:p>
      <w:pPr>
        <w:ind w:left="340" w:hanging="332"/>
        <w:spacing w:after="0" w:line="233" w:lineRule="auto"/>
        <w:tabs>
          <w:tab w:leader="none" w:pos="3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 xml:space="preserve">Ben Adams, </w:t>
      </w:r>
      <w:r>
        <w:rPr>
          <w:rFonts w:ascii="Times New Roman" w:cs="Times New Roman" w:eastAsia="Times New Roman" w:hAnsi="Times New Roman"/>
          <w:sz w:val="18"/>
          <w:szCs w:val="18"/>
          <w:i w:val="1"/>
          <w:iCs w:val="1"/>
          <w:color w:val="auto"/>
        </w:rPr>
        <w:t>Newly acquired Alexion pays $100M for Rhythm’s speedy review voucher</w:t>
      </w:r>
      <w:r>
        <w:rPr>
          <w:rFonts w:ascii="Times New Roman" w:cs="Times New Roman" w:eastAsia="Times New Roman" w:hAnsi="Times New Roman"/>
          <w:sz w:val="18"/>
          <w:szCs w:val="18"/>
          <w:color w:val="auto"/>
        </w:rPr>
        <w:t xml:space="preserve">, Fierce Biotech (Jan 6, 2021, 10:23 AM), </w:t>
      </w:r>
      <w:r>
        <w:rPr>
          <w:rFonts w:ascii="Times New Roman" w:cs="Times New Roman" w:eastAsia="Times New Roman" w:hAnsi="Times New Roman"/>
          <w:sz w:val="18"/>
          <w:szCs w:val="18"/>
          <w:i w:val="1"/>
          <w:iCs w:val="1"/>
          <w:color w:val="auto"/>
        </w:rPr>
        <w:t>available at</w:t>
      </w:r>
      <w:r>
        <w:rPr>
          <w:rFonts w:ascii="Times New Roman" w:cs="Times New Roman" w:eastAsia="Times New Roman" w:hAnsi="Times New Roman"/>
          <w:sz w:val="18"/>
          <w:szCs w:val="18"/>
          <w:color w:val="auto"/>
        </w:rPr>
        <w:t xml:space="preserve"> https://www.fiercebiotech.com/biotech/newly-acquired-alexion-pays-100m-for-rhythm-s-speedy-review-voucher.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-521335</wp:posOffset>
            </wp:positionV>
            <wp:extent cx="21431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The FDA’s Decision on an NDA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FDA’s evaluation of the NDA and accompanying information, including the results of the inspection of the manufacturing facilities,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FDA may issue an approval letter or a complete response letter. An approval letter authorizes commercial marketing of the product with specific prescribing information for specific indications. A complete response letter generally outlines the deficiencies in the submission and may require substantial additional testing or information in order for the FDA to reconsider the application. If and when those deficiencies have been addressed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the FDA approves a product, it may limit the approved indications for use for the product, require that contraindications, warnings or precautions be included in the product labeling, require that post-approval studies, including Phase 4 clinical trials, be conducted to further assess the drug’s safety after approval, require testing and surveillance programs to monitor the product after commercialization, or impose other conditions, including distribution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restrictions or other risk management mechanisms, including REMS, which can materially affect the potential market and profitability of the product. The FDA may prevent or limit further marketing of a product based on the results of post-market studies or surveillance programs. After approval, many types of changes to the approved product, such as adding new indications, manufacturing changes and additional labeling claims, are subject to further testing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requirements and FDA review and approval.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Post-Approval Requirements</w:t>
      </w:r>
    </w:p>
    <w:p>
      <w:pPr>
        <w:spacing w:after="0" w:line="162"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area of production and quality control to maintain cGMP compliance.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restrictions under a REMS program. Other potential consequences include, among other things:</w:t>
      </w:r>
    </w:p>
    <w:p>
      <w:pPr>
        <w:spacing w:after="0" w:line="124" w:lineRule="exact"/>
        <w:rPr>
          <w:sz w:val="20"/>
          <w:szCs w:val="20"/>
          <w:color w:val="auto"/>
        </w:rPr>
      </w:pPr>
    </w:p>
    <w:p>
      <w:pPr>
        <w:ind w:left="720" w:right="900"/>
        <w:spacing w:after="0" w:line="422" w:lineRule="auto"/>
        <w:rPr>
          <w:sz w:val="20"/>
          <w:szCs w:val="20"/>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 fines, warning letters or holds on post-approval clinical trials;</w:t>
      </w:r>
    </w:p>
    <w:p>
      <w:pPr>
        <w:spacing w:after="0" w:line="1" w:lineRule="exact"/>
        <w:rPr>
          <w:sz w:val="20"/>
          <w:szCs w:val="20"/>
          <w:color w:val="auto"/>
        </w:rPr>
      </w:pPr>
    </w:p>
    <w:p>
      <w:pPr>
        <w:ind w:left="720" w:right="480"/>
        <w:spacing w:after="0" w:line="414" w:lineRule="auto"/>
        <w:rPr>
          <w:sz w:val="20"/>
          <w:szCs w:val="20"/>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license approvals; product seizure or detention, or refusal to permit the import or export of products; or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injunctions or the imposition of civil or criminal penalties.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prescription drug products placed on the market. This regulation includes, among other things, standards and regulations for direct-to-consumer advertising, communications regarding unapproved uses, industry-sponsored scientific and educational activities, and promotional activities involving the Internet and social media. Promotional claims about a drug’s safety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effectiveness are prohibited before the drug is approved. After approval, a drug product generally may not be promoted for uses that are not approved by the FDA, as reflected in the product’s prescribing information. In the United States, healthcare professionals are generally permitted to prescribe drugs for such uses not described in the drug’s labeling, known as off-label uses, because the FDA does not regulate the practice of medicine. However, the FDA’s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regulations impose rigorous restrictions on manufacturers’ communications, prohibiting the promotion of off-label uses. It may be permissible, under very specific, narrow conditions, for a manufacturer to engage in nonpromotional, non-misleading communication regarding off-label information, such as distributing scientific or medical journal information. If a company is found to have promoted off-label uses, it may become subject to adverse public</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relations and administrative and judicial enforcement by the FDA, the Department of Justice, or the Office of the Inspector General of the Department of</w:t>
      </w:r>
    </w:p>
    <w:p>
      <w:pPr>
        <w:sectPr>
          <w:pgSz w:w="11900" w:h="16838" w:orient="portrait"/>
          <w:cols w:equalWidth="0" w:num="1">
            <w:col w:w="11240"/>
          </w:cols>
          <w:pgMar w:left="320" w:top="108" w:right="339" w:bottom="0" w:gutter="0" w:footer="0" w:header="0"/>
        </w:sectPr>
      </w:pPr>
    </w:p>
    <w:bookmarkStart w:id="19" w:name="page20"/>
    <w:bookmarkEnd w:id="19"/>
    <w:p>
      <w:pPr>
        <w:jc w:val="both"/>
        <w:spacing w:after="0" w:line="223" w:lineRule="auto"/>
        <w:rPr>
          <w:sz w:val="20"/>
          <w:szCs w:val="20"/>
          <w:color w:val="auto"/>
        </w:rPr>
      </w:pPr>
      <w:r>
        <w:rPr>
          <w:rFonts w:ascii="Times New Roman" w:cs="Times New Roman" w:eastAsia="Times New Roman" w:hAnsi="Times New Roman"/>
          <w:sz w:val="18"/>
          <w:szCs w:val="18"/>
          <w:color w:val="auto"/>
        </w:rPr>
        <w:t>Health and Human Services, as well as state authorities. This could subject a company to a range of penalties that could have a significant commercial impact, including civil and criminal fines and agreements that materially restrict the manner in which a company promotes or distributes drug products. The</w:t>
      </w:r>
    </w:p>
    <w:p>
      <w:pPr>
        <w:jc w:val="both"/>
        <w:spacing w:after="0" w:line="226" w:lineRule="auto"/>
        <w:rPr>
          <w:sz w:val="20"/>
          <w:szCs w:val="20"/>
          <w:color w:val="auto"/>
        </w:rPr>
      </w:pPr>
      <w:r>
        <w:rPr>
          <w:rFonts w:ascii="Times New Roman" w:cs="Times New Roman" w:eastAsia="Times New Roman" w:hAnsi="Times New Roman"/>
          <w:sz w:val="18"/>
          <w:szCs w:val="18"/>
          <w:color w:val="auto"/>
        </w:rPr>
        <w:t>federal government has levied large civil and criminal fines against companies for alleged improper promotion, and has also requested that companies enter into consent decrees or permanent injunctions under which specified promotional conduct is changed or curtailed.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and its implementation regulations, as well as the Drug Supply Chain Security Act (“DSCSA”), which regulates the distribution of and tracing of prescription drugs and prescription drug samples at the federal level, and sets minimum standards for the regulation of drug distributors by the states. The PDMA, its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implementing regulations and state laws limit the distribution of prescription pharmaceutical product samples, and the DSCSA imposes requirements to ensure accountability in distribution and to identify and remove counterfeit and other illegitimate products from the market.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Abbreviated New Drug Applications for Generic Drugs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1984, with passage of the Hatch-Waxman Amendments to the FDCA, Congress authorized the FDA to approve generic drugs that are the same as drugs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previously approved by the FDA under the NDA provisions of the statute. To obtain approval of a generic drug, an applicant must submit an ANDA to the agency. In support of such applications, a generic manufacturer may rely on the preclinical and clinical testing previously conducted for a drug product previously approved under an NDA, known as the reference-listed drug (“RLD”).</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is “bioequivalent” to the innovator drug. Under the statute, a generic drug is bioequivalent to a RLD if “the rate and extent of absorption of the drug do not show a significant difference from the rate and extent of absorption of the listed drug...”</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designation of therapeutic equivalence often results in substitution of the generic drug without the knowledge or consent of either the prescribing physician or patient.</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the Hatch-Waxman Amendments, the FDA may not approve an ANDA until any applicable period of non-patent exclusivity for the RLD has expired. The FDCA provides a period of five years of non-patent data exclusivity for a new drug containing a new chemical entity. For the purposes of this provision, a new chemical entity (“NCE”), is a drug that contains no active moiety that has previously been approved by the FDA in any other NDA. An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active moiety is the molecule or ion responsible for the physiological or pharmacological action of the drug substance. In cases where such NCE exclusivity has been granted, an ANDA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if the NDA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indication.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seeking approval for generic versions of the drug as of the date of approval of the original drug product. The FDA typically makes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decisions about awards of data exclusivity shortly before a product is approved.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FDARA, a priority review track will be established for certain generic drugs, requiring the FDA to review a drug application within eight months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drug that has three or fewer approved drugs listed in the Orange Book and is no longer protected by any patent or regulatory exclusivities, or is on the FDA’s drug shortage list. The new legislation also authorizes the FDA to expedite review of “competitor generic therapies” or drugs with inadequate generic competition, including holding meetings with or providing advice to the drug sponsor prior to submission of the application.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Hatch-Waxman Patent Certification and the 30-Month Stay</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Orange Book, except for patents covering methods of use for which the ANDA applicant is not seeking approval. To the extent that the Section 505(b)(2)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158" w:lineRule="exact"/>
        <w:rPr>
          <w:sz w:val="20"/>
          <w:szCs w:val="20"/>
          <w:color w:val="auto"/>
        </w:rPr>
      </w:pPr>
    </w:p>
    <w:p>
      <w:pPr>
        <w:ind w:left="720" w:right="6920"/>
        <w:spacing w:after="0" w:line="414" w:lineRule="auto"/>
        <w:rPr>
          <w:sz w:val="20"/>
          <w:szCs w:val="20"/>
          <w:color w:val="auto"/>
        </w:rPr>
      </w:pPr>
      <w:r>
        <w:rPr>
          <w:rFonts w:ascii="Times New Roman" w:cs="Times New Roman" w:eastAsia="Times New Roman" w:hAnsi="Times New Roman"/>
          <w:sz w:val="18"/>
          <w:szCs w:val="18"/>
          <w:color w:val="auto"/>
        </w:rPr>
        <w:t>the required patent information has not been filed; the listed patent has expired;</w:t>
      </w:r>
    </w:p>
    <w:p>
      <w:pPr>
        <w:spacing w:after="0" w:line="1" w:lineRule="exact"/>
        <w:rPr>
          <w:sz w:val="20"/>
          <w:szCs w:val="20"/>
          <w:color w:val="auto"/>
        </w:rPr>
      </w:pPr>
    </w:p>
    <w:p>
      <w:pPr>
        <w:ind w:left="720" w:right="2120"/>
        <w:spacing w:after="0" w:line="422" w:lineRule="auto"/>
        <w:rPr>
          <w:sz w:val="20"/>
          <w:szCs w:val="20"/>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 the listed patent is invalid, unenforceable or will not be infringed by the new product.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certification that the new product will not infringe the already approved product’s listed patents or that such patents are invalid or unenforceable is called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Paragraph IV certification. If the applicant does not challenge the listed patents or indicates that it is not seeking approval of a patented method of use, the ANDA application will not be approved until all the listed patents claiming the referenced product have expired (other than method of use patents involving indications for which the ANDA applicant is not seeking approval).</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Pediatric Studies and Exclusivity</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the Pediatric Research Equity Act of 2003, an NDA or supplement thereto must contain data that are adequate to assess the safety and effectiveness of the drug product for the claimed indications in all relevant pediatric subpopulations, and to support dosing and administration for each pediatric subpopulation for which the product is safe and effective. With enactment of the Food and Drug Safety and Innovation Act (“FDASIA”), in 2012, sponsors</w:t>
      </w:r>
    </w:p>
    <w:p>
      <w:pPr>
        <w:sectPr>
          <w:pgSz w:w="11900" w:h="16838" w:orient="portrait"/>
          <w:cols w:equalWidth="0" w:num="1">
            <w:col w:w="11240"/>
          </w:cols>
          <w:pgMar w:left="320" w:top="108" w:right="339" w:bottom="0" w:gutter="0" w:footer="0" w:header="0"/>
        </w:sectPr>
      </w:pPr>
    </w:p>
    <w:bookmarkStart w:id="20" w:name="page21"/>
    <w:bookmarkEnd w:id="20"/>
    <w:p>
      <w:pPr>
        <w:jc w:val="both"/>
        <w:spacing w:after="0" w:line="223" w:lineRule="auto"/>
        <w:rPr>
          <w:sz w:val="20"/>
          <w:szCs w:val="20"/>
          <w:color w:val="auto"/>
        </w:rPr>
      </w:pPr>
      <w:r>
        <w:rPr>
          <w:rFonts w:ascii="Times New Roman" w:cs="Times New Roman" w:eastAsia="Times New Roman" w:hAnsi="Times New Roman"/>
          <w:sz w:val="18"/>
          <w:szCs w:val="18"/>
          <w:color w:val="auto"/>
        </w:rPr>
        <w:t>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w:t>
      </w:r>
    </w:p>
    <w:p>
      <w:pPr>
        <w:jc w:val="both"/>
        <w:spacing w:after="0" w:line="208" w:lineRule="auto"/>
        <w:rPr>
          <w:sz w:val="20"/>
          <w:szCs w:val="20"/>
          <w:color w:val="auto"/>
        </w:rPr>
      </w:pPr>
      <w:r>
        <w:rPr>
          <w:rFonts w:ascii="Times New Roman" w:cs="Times New Roman" w:eastAsia="Times New Roman" w:hAnsi="Times New Roman"/>
          <w:sz w:val="18"/>
          <w:szCs w:val="18"/>
          <w:color w:val="auto"/>
        </w:rPr>
        <w:t>applicant, the FDA, and the FDA’s internal review committee must then review the information submitted, consult with each other, and agree upon a final plan. The FDA or the applicant may request an amendment to the plan at any time. For drugs intended to treat a serious or life-threatening disease or condition, the FDA must, upon the request of an applicant, meet to discuss preparation of the initial pediatric study plan or to discuss deferral or waiver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pediatric assessments.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FDARA requires the FDA to meet early in the development process to discuss pediatric study plans with drug sponsors. The legislation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requires the FDA to meet with drug sponsors no later than the end-of-phase 1 meeting for serious or life-threatening diseases and by no later than 90 days after the FDA’s receipt of the study plan.</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apply to products with orphan designation.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Pediatric exclusivity is another type of non-patent marketing exclusivity in the United States and, if granted, provides for the attachment of an additional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six months of marketing protection to the term of any existing regulatory exclusivity, including the non-patent and orphan exclusivity. This six-month exclusivity may be granted if an NDA sponsor submits pediatric data that fairly responds to a written request from the FDA for such data. The data do not need to show the product to be effective in the pediatric population studied; rather, if the clinical trial is deemed to fairly respond to the FDA’s request,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 With regard to patents, the six-month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pediatric exclusivity period will not attach to any patents for which a generic (ANDA or 505(b)(2) NDA) applicant submitted a paragraph IV patent certification, unless the NDA sponsor or patent owner first obtains a court determination that the patent is valid and infringed by a proposed generic product.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Orphan Drug Designation and Exclusivity</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the Orphan Drug Act, the FDA may designate a drug product as an “orphan drug” if it is intended to treat a rare disease or condition (generally meaning that it affects fewer than 200,000 individuals in the United States, or more in cases in which there is no reasonable expectation that the cost of developing and making a drug product available in the United States for treatment of the disease or condition will be recovered from sales of the product).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 company must request orphan product designation before submitting an NDA. If the request is granted, the FDA will disclose the identity of the therapeutic agent and its potential use. Orphan product designation does not convey any advantage in or shorten the duration of the regulatory review and approval process.</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If a product with orphan status receives the first FDA approval for the disease or condition for which it has such designation or for a select indication or use within the rare disease or condition for which it was designated, the product generally will be receiving orphan product exclusivity. Orphan product exclusivity means that the FDA may not approve any other applications for the same product for the same indication for seven years, except in certain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limited circumstances. Those circumstances include instances in which another sponsor’s application for the same drug product and indication is shown to be “clinically superior” to the previously approved drug. In this context, clinically superior means that the drug provides a significant therapeutic advantage over and above the already approved drug in terms of greater efficacy, greater safety or by providing a major contribution to patient care. Competitors may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receive approval of different products for the indication for which the orphan product has exclusivity and may obtain approval for the same product but for a different indication. If a drug or drug product designated as an orphan product ultimately receives marketing approval for an indication broader than what was designated in its orphan product application, it may not be entitled to exclusivity.</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Under FDARA, orphan exclusivity will not bar approval of another orphan drug under certain circumstances, including if a subsequent product with the same drug for the same indication is shown to be clinically superior to the approved product on the basis of greater efficacy or safety, or providing a major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contribution to patient care, or if the company with orphan drug exclusivity is not able to meet market demand. The new legislation reverses prior precedent holding that the Orphan Drug Act unambiguously required the FDA to recognize orphan exclusivity regardless of a showing of clinical superiority.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Patent Term Restoration and Extension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patent claiming a new drug product may be eligible for a limited patent term extension under the Hatch-Waxman Act, which permits a patent restoration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Patent term restoration cannot be used to extend the remaining term of a patent past a total of 14 years from the product’s approval date.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Only one patent applicable to an approved drug product is eligible for the extension, and the application for the extension must be submitted prior to the expiration of the patent in question. A patent that covers multiple drugs for which approval is sought can only be extended in connection with one of the approvals. The U.S. Patent and Trademark Office reviews and approves the application for any patent term extension or restoration in consultation with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FDA.</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Review and Approval of Medical Devices in the United States</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 xml:space="preserve">Medical devices in the United States are strictly regulated by the FDA. Under the FDCA, a medical device is defined as an instrument, apparatus, implement, machine, contrivance, implant,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reagent, or other similar or related article, including a component part, or accessory which is, among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its primary intended purposes. This definition provides a clear distinction between a medical device and other FDA regulated products such as drugs. If the primary intended use of the product is achieved through chemical action or by being metabolized by the body, the product is usually a drug. If not, it is generally a medical device.</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Medical devices are classified into one of three classes on the basis of the controls deemed by the FDA to be necessary to reasonably ensure their safety and effectiveness. Class I devices have the lowest level or risk associated with them, and are subject to general controls, including labeling, premarket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notification and adherence to the Quality System Regulation (“QSR”). Class II devices are subject to general controls and special controls, including performance standards. Class III devices, which have the highest level of risk associated with them, such as life sustaining, life supporting or some implantable devices, or devices that have a new intended use, or use advanced technology that is not substantially equivalent to that of a legally marketed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device, are subject to most of the aforementioned requirements as well as to premarket approval.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510(k) must demonstrate that the proposed device is substantially equivalent to another legally marketed device, or predicate device, which did not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 premarket approval. In evaluating a 510(k), the FDA will determine whether the device has the same intended use as the predicate device, and (a) has the same technological characteristics as the predicate device, or (b) has different technological characteristics, and (i) the data supporting substantial equivalence contains information, including appropriate clinical or scientific data, if deemed necessary by the FDA, that demonstrates that the device is 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safe and as effective as a legally marketed device, and (ii) does not raise different questions of safety and effectiveness than the predicate device. Most 510(k)s do not require clinical data for clearance, but the FDA may request such data. The FDA seeks to review and act on a 510(k) within 90 days of submission, but it may take longer if the agency finds that it requires more information to review the 510(k). If the FDA concludes that a new device is not</w:t>
      </w:r>
    </w:p>
    <w:p>
      <w:pPr>
        <w:sectPr>
          <w:pgSz w:w="11900" w:h="16838" w:orient="portrait"/>
          <w:cols w:equalWidth="0" w:num="1">
            <w:col w:w="11240"/>
          </w:cols>
          <w:pgMar w:left="320" w:top="108" w:right="339" w:bottom="0" w:gutter="0" w:footer="0" w:header="0"/>
        </w:sectPr>
      </w:pPr>
    </w:p>
    <w:bookmarkStart w:id="21" w:name="page22"/>
    <w:bookmarkEnd w:id="21"/>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substantially equivalent to a predicate device, the new device will be classified in Class III and the manufacturer will be most likely required to submit a PMA to market the product.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Under the PMA application process, the applicant must demonstrate that the device is safe and effective for its intended use. This PMA approval process applies to most Class III devices, and generally requires clinical data to support the safety and effectiveness of the device, obtained in conformance with</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Investigational Device Exemption regulations. The FDA will approve a PMA application if it finds that there is a reasonable assurance that the device is safe and effective for its intended purpose, and that the proposed manufacturing is in compliance with the QSRs. For novel technologies, the FDA will seek input from an advisory panel of medical experts regarding the safety and effectiveness of, and their benefit-risk analysis for the device. The PMA process is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generally more detailed, lengthier and more expensive than the 510(k) process, though both processes can be expensive and lengthy, and require payment of significant user fees, unless an exemption is available.</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Modifications to a 510(k)-cleared medical device may require the submission of another 510(k) or a PMA if the changes could significantly affect safety or effectiveness or constitute a major change in the intended use of the device. Modifications to a 510(k)-cleared device frequently require the submission of a traditional 510(k), but modifications meeting certain conditions may be candidates for FDA review under a Special 510(k). If a device modification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requires the submission of a 510(k), but the modification does not affect the intended use of the device or alter the fundamental technology of the device, then summary information that results from the design control process associated with the cleared device can serve as the basis for clearing the application. A Special 510(k) allows a manufacturer to declare conformance to design controls without providing new data. When the modification involves a change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the nature of the “new” material will determine whether a traditional or Special 510(k) is necessary.</w:t>
      </w:r>
    </w:p>
    <w:p>
      <w:pPr>
        <w:spacing w:after="0" w:line="1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Review and Approval of Drug Products in the European Union</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sales and distribution of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Procedures Governing Approval of Drug Products in the European Union</w:t>
      </w:r>
    </w:p>
    <w:p>
      <w:pPr>
        <w:spacing w:after="0" w:line="162"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18"/>
          <w:szCs w:val="18"/>
          <w:color w:val="auto"/>
        </w:rPr>
        <w:t>Pursuant to the European Clinical Trials Directive, a system for the approval of clinical trials in the European Union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 must be accompanied by an investigational medicinal product dossier with supporting information prescribed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European Clinical Trials Directive and corresponding national laws of the member states and further detailed in applicable guidance documents.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obtain marketing approval of a product under European Union regulatory systems, an applicant must submit a marketing authorization application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(“MAA”), either under a centralized or decentralized procedure. The centralized procedure provides for the grant of a single marketing authorization by the European Commission that is valid for all E.U. member states. The centralized procedure is compulsory for specific products, including for medicines produced by certain biotechnological processes, products designated as orphan medicinal products, advanced therapy products and products with a new</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active substance indicated for the treatment of certain diseases. For products with a new active substance indicated for the treatment of other diseases and products that are highly innovative or for which a centralized process is in the interest of patients, the centralized procedure may be optional.</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(the “CHMP”), established at the European Medicines Agency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circumstance, the EMA ensures that the opinion of the CHMP is given within 150 days.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decentralized procedure is available to applicants who wish to market a product in various E.U. member states where such a product has not previously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received marketing approval in any E.U. member states. The decentralized procedure provides for approval by one or more other, or concerned, member states of an assessment of an application performed by one member state designated by the applicant, known as the reference member state. Under this procedure, an applicant submits an application based on identical dossiers and related materials, including a draft summary of product characteristics,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draft labeling and package leaflet, to the reference member state and concerned member states. The reference member state prepares a draft assessment report and drafts of the related materials within 210 days after receipt of a valid application. Within 90 days of receiving the reference member state’s assessment report and related materials, each concerned member state must decide whether to approve the assessment report and related materials.</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If a member state cannot approve the assessment report and related materials on the grounds of potential serious risk to public health, the disputed points are subject to a dispute resolution mechanism and may eventually be referred to the European Commission, whose decision is binding on all member states.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Clinical Trial Approval</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Requirements for the conduct of clinical trials in the European Union including Good Clinical Practice, are set forth in the Clinical Trials Directive 2001/20/EC and the GCP Directive 2005/28/EC. Pursuant to Directive 2001/20/EC and Directive 2005/28/EC, as amended, a system for the approval of clinical trials in the European Union has been implemented through national legislation of the E.U. member states. Under this system, approval must be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obtained from the competent national authority of each E.U. member state in which a study is planned to be conducted. To this end, a clinical trial application is submitted, which must be supported by an investigational medicinal product dossier (“IMPD”), and further supporting information prescribed by Directive 2001/20/EC and Directive 2005/28/EC and other applicable guidance documents. Furthermore, a clinical trial may only be started after a</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competent Ethics Committee has issued a favorable opinion on the clinical trial application in that country.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2014, the European Union passed the new Clinical Trials Regulation, (EU) No 536/2014, which will replace the current Clinical Trials Directive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2001/20/EC. To ensure that the rules for clinical trials are identical throughout the European Union, the new E.U. clinical trials legislation was passed as a regulation that is directly applicable in all E.U. member states. All clinical trials performed in the European Union are required to be conducted in accordance with the Clinical Trials Directive 2001/20/EC until the new Clinical Trials Regulation (EU) No 536/2014 becomes applicable. According to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 plans of EMA, the new Clinical Trials Regulation will become applicable in 2019. The Clinical Trials Directive 2001/20/EC will, however, still apply three years from the date of entry into application of the Clinical Trials Regulation to (i) clinical trials applications submitted before the entry into application and (ii) clinical trials applications submitted within one year after the entry into application if the sponsor opts for old system.</w:t>
      </w:r>
    </w:p>
    <w:p>
      <w:pPr>
        <w:spacing w:after="0" w:line="1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new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w:t>
      </w:r>
    </w:p>
    <w:p>
      <w:pPr>
        <w:sectPr>
          <w:pgSz w:w="11900" w:h="16838" w:orient="portrait"/>
          <w:cols w:equalWidth="0" w:num="1">
            <w:col w:w="11240"/>
          </w:cols>
          <w:pgMar w:left="320" w:top="108" w:right="339" w:bottom="0" w:gutter="0" w:footer="0" w:header="0"/>
        </w:sectPr>
      </w:pPr>
    </w:p>
    <w:bookmarkStart w:id="22" w:name="page23"/>
    <w:bookmarkEnd w:id="22"/>
    <w:p>
      <w:pPr>
        <w:spacing w:after="0" w:line="19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application as well as simplified reporting procedures that will spare sponsors from submitting broadly identical information separately to various bodies and different member states; a harmonized procedure for the assessment of applications for clinical trials, which is divided in two parts-Part I is</w:t>
      </w:r>
    </w:p>
    <w:p>
      <w:pPr>
        <w:jc w:val="both"/>
        <w:spacing w:after="0" w:line="218" w:lineRule="auto"/>
        <w:rPr>
          <w:sz w:val="20"/>
          <w:szCs w:val="20"/>
          <w:color w:val="auto"/>
        </w:rPr>
      </w:pPr>
      <w:r>
        <w:rPr>
          <w:rFonts w:ascii="Times New Roman" w:cs="Times New Roman" w:eastAsia="Times New Roman" w:hAnsi="Times New Roman"/>
          <w:sz w:val="18"/>
          <w:szCs w:val="18"/>
          <w:color w:val="auto"/>
        </w:rPr>
        <w:t>assessed jointly by all member states concerned. Part II is assessed separately by each member state concerned; strictly defined deadlines for the assessment of clinical trial applications; and the involvement of the Ethics Committees in the assessment procedure in accordance with the national law of the member state concerned but within the overall timelines defined by the Clinical Trials Regulation.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and Market Exclusivity in the European Union</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the European Union, new chemical entities qualify for eight years of data exclusivity upon marketing authorization and an additional two years of market exclusivity. This data exclusivity, if granted, prevents regulatory authorities in the European Union from referencing the innovator’s data to assess a generic (abbreviated) application for eight years, after which generic marketing authorization can be submitted, and the innovator’s data may be referenced,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entity and the sponsor is able to gain the prescribed period of data exclusivity, another company nevertheless could also market another version of the product if such company can complete a full MAA with a complete database of pharmaceutical tests, preclinical tests and clinical trials and obtain marketing approval of its product.</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sales and distribution of drug products. Whether or not it obtains FDA approval for a product, the company would need to obtain the necessary approvals by the comparable foreign regulatory authorities before it can commence clinical trials or marketing of the product in those countries or jurisdictions. The approval process ultimately varies between countries and jurisdictions and can involve additional product testing and additional administrative review</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Periods of Authorization and Renewals</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European Union market (in case of centralized procedure) or on the market of the authorizing member state within three years after authorization ceases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valid (the so-called sunset clause).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Orphan Drug Designation and Exclusivity</w:t>
      </w:r>
    </w:p>
    <w:p>
      <w:pPr>
        <w:spacing w:after="0" w:line="16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Regulation 141/2000 provides that a drug shall be designated as an orphan drug if its sponsor can establish: that the product is intended for the diagnosis, prevention or treatment of a life-threatening or chronically debilitating condition affecting not more than five in ten thousand persons in the European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Community when the application is made, or that the product is intended for the diagnosis, prevention or treatment of a life-threatening, seriously debilitating or serious and chronic condition in the European Community and that without incentives it is unlikely that the marketing of the drug in the European Community would generate sufficient return to justify the necessary investment. For either of these conditions, the applicant must demonstrate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there exists no satisfactory method of diagnosis, prevention or treatment of the condition in question that has been authorized in the European Community or, if such method exists, the drug will be of significant benefit to those affected by that condition.</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Regulation 847/2000 sets out criteria and procedures governing designation of orphan drugs in the European Union. Specifically, an application for designation as an orphan product can be made any time prior to the filing of an application for approval to market the product. Marketing authorization for an orphan drug leads to a ten-year period of market exclusivity. This period may, however, be reduced to six years if, at the end of the fifth year, it is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established that the product no longer meets the criteria for orphan drug designation, for example because the product is sufficiently profitable not to justify market exclusivity. Market exclusivity can be revoked only in very selected cases, such as consent from the marketing authorization holder, inability to supply sufficient quantities of the product, demonstration of “clinically relevant superiority” by a similar medicinal product, or, after a review by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Committee for Orphan Medicinal Products, requested by a member state in the fifth year of the marketing exclusivity period (if the designation criteria are believed to no longer apply). Medicinal products designated as orphan drugs pursuant to Regulation 141/2000 shall be eligible for incentives made available by the European Community and by the member states to support research into, and the development and availability of, orphan drugs.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Framework in Australia</w:t>
      </w:r>
    </w:p>
    <w:p>
      <w:pPr>
        <w:spacing w:after="0" w:line="162"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The Therapeutic Goods Administration, through the Therapeutic Goods Act 1989 and the Therapeutic Goods Regulations is responsible for the efficacy, quality, safety and timely availability of drugs and medical devices in Australia. The mission statement of the TGA is “To ensure the safety, quality and efficacy of therapeutic goods available in Australia at a standard equal to that of comparable countries, and that premarket assessment of therapeutic goods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conducted within a reasonable time.”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drug regulation process in Australia is complex and resource intensive. It must be accountable in terms of the quality, safety and efficacy of drugs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made available in Australia. This accountability includes an acceptance of a balance between safety and efficacy. The approval process is a detailed evaluation of the data supplied by the company sponsoring an application.</w:t>
      </w:r>
    </w:p>
    <w:p>
      <w:pPr>
        <w:spacing w:after="0" w:line="13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drug may first come to the attention of the TGA when an application for marketing is received or when an Australian clinical trial is being planned. For clinical trials, the sponsoring company may submit preliminary data for evaluation to the TGA or notify the TGA that the trial has been approved by an institutional Ethics Committee.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drug evaluation process for new chemical entities is as follows: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Application</w:t>
      </w:r>
    </w:p>
    <w:p>
      <w:pPr>
        <w:spacing w:after="0" w:line="148" w:lineRule="exact"/>
        <w:rPr>
          <w:sz w:val="20"/>
          <w:szCs w:val="20"/>
          <w:color w:val="auto"/>
        </w:rPr>
      </w:pPr>
    </w:p>
    <w:p>
      <w:pPr>
        <w:ind w:left="720" w:right="6580"/>
        <w:spacing w:after="0" w:line="420" w:lineRule="auto"/>
        <w:rPr>
          <w:sz w:val="20"/>
          <w:szCs w:val="20"/>
          <w:color w:val="auto"/>
        </w:rPr>
      </w:pPr>
      <w:r>
        <w:rPr>
          <w:rFonts w:ascii="Times New Roman" w:cs="Times New Roman" w:eastAsia="Times New Roman" w:hAnsi="Times New Roman"/>
          <w:sz w:val="18"/>
          <w:szCs w:val="18"/>
          <w:color w:val="auto"/>
        </w:rPr>
        <w:t>Check to see data complies with Australian guidelines. Invoice sponsor for 75% of evaluation fee.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Evaluation</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Evaluate pharmaceutical and chemical data.</w:t>
      </w:r>
    </w:p>
    <w:p>
      <w:pPr>
        <w:spacing w:after="0" w:line="157" w:lineRule="exact"/>
        <w:rPr>
          <w:sz w:val="20"/>
          <w:szCs w:val="20"/>
          <w:color w:val="auto"/>
        </w:rPr>
      </w:pPr>
    </w:p>
    <w:p>
      <w:pPr>
        <w:ind w:left="720" w:right="6780"/>
        <w:spacing w:after="0" w:line="440" w:lineRule="auto"/>
        <w:rPr>
          <w:sz w:val="20"/>
          <w:szCs w:val="20"/>
          <w:color w:val="auto"/>
        </w:rPr>
      </w:pPr>
      <w:r>
        <w:rPr>
          <w:rFonts w:ascii="Times New Roman" w:cs="Times New Roman" w:eastAsia="Times New Roman" w:hAnsi="Times New Roman"/>
          <w:sz w:val="18"/>
          <w:szCs w:val="18"/>
          <w:color w:val="auto"/>
        </w:rPr>
        <w:t>Evaluate animal pharmacology and toxicology data. Evaluate clinical data.</w:t>
      </w:r>
    </w:p>
    <w:p>
      <w:pPr>
        <w:sectPr>
          <w:pgSz w:w="11900" w:h="17038" w:orient="portrait"/>
          <w:cols w:equalWidth="0" w:num="1">
            <w:col w:w="11240"/>
          </w:cols>
          <w:pgMar w:left="320" w:top="108" w:right="339" w:bottom="0" w:gutter="0" w:footer="0" w:header="0"/>
        </w:sectPr>
      </w:pPr>
    </w:p>
    <w:bookmarkStart w:id="23" w:name="page24"/>
    <w:bookmarkEnd w:id="23"/>
    <w:p>
      <w:pPr>
        <w:ind w:left="720" w:right="900"/>
        <w:spacing w:after="0" w:line="422" w:lineRule="auto"/>
        <w:rPr>
          <w:sz w:val="20"/>
          <w:szCs w:val="20"/>
          <w:color w:val="auto"/>
        </w:rPr>
      </w:pPr>
      <w:r>
        <w:rPr>
          <w:rFonts w:ascii="Times New Roman" w:cs="Times New Roman" w:eastAsia="Times New Roman" w:hAnsi="Times New Roman"/>
          <w:sz w:val="18"/>
          <w:szCs w:val="18"/>
          <w:color w:val="auto"/>
        </w:rPr>
        <w:t>Evaluation Unit reviews reports (coordinates external evaluations if used), prepares a summary and makes an initial recommendation. Pre ADEC consultation with sponsor.</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Prepare approved product information and consider consumer product information.</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Submit final package of summaries and recommendations to the ADEC (six meetings per year).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Approval</w:t>
      </w:r>
    </w:p>
    <w:p>
      <w:pPr>
        <w:spacing w:after="0" w:line="162" w:lineRule="exact"/>
        <w:rPr>
          <w:sz w:val="20"/>
          <w:szCs w:val="20"/>
          <w:color w:val="auto"/>
        </w:rPr>
      </w:pPr>
    </w:p>
    <w:p>
      <w:pPr>
        <w:ind w:left="720" w:right="7780"/>
        <w:spacing w:after="0" w:line="414" w:lineRule="auto"/>
        <w:rPr>
          <w:sz w:val="20"/>
          <w:szCs w:val="20"/>
          <w:color w:val="auto"/>
        </w:rPr>
      </w:pPr>
      <w:r>
        <w:rPr>
          <w:rFonts w:ascii="Times New Roman" w:cs="Times New Roman" w:eastAsia="Times New Roman" w:hAnsi="Times New Roman"/>
          <w:sz w:val="18"/>
          <w:szCs w:val="18"/>
          <w:color w:val="auto"/>
        </w:rPr>
        <w:t>ADEC review and advice to the TGA. Final decision by the TGA.</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Finalize conditions of registration.</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Advice to sponsor, invoice final 25% of evaluation fee.</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new chemical entity, advise drug information centers, forensic laboratories, etc.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Registration</w:t>
      </w:r>
    </w:p>
    <w:p>
      <w:pPr>
        <w:spacing w:after="0" w:line="162" w:lineRule="exact"/>
        <w:rPr>
          <w:sz w:val="20"/>
          <w:szCs w:val="20"/>
          <w:color w:val="auto"/>
        </w:rPr>
      </w:pPr>
    </w:p>
    <w:p>
      <w:pPr>
        <w:ind w:left="720" w:right="4160"/>
        <w:spacing w:after="0" w:line="414" w:lineRule="auto"/>
        <w:rPr>
          <w:sz w:val="20"/>
          <w:szCs w:val="20"/>
          <w:color w:val="auto"/>
        </w:rPr>
      </w:pPr>
      <w:r>
        <w:rPr>
          <w:rFonts w:ascii="Times New Roman" w:cs="Times New Roman" w:eastAsia="Times New Roman" w:hAnsi="Times New Roman"/>
          <w:sz w:val="18"/>
          <w:szCs w:val="18"/>
          <w:color w:val="auto"/>
        </w:rPr>
        <w:t>Sponsor applies to register the product on the Australian Register of Therapeutic Goods. Supply is permitted once the applicable number is allocated.</w:t>
      </w:r>
    </w:p>
    <w:p>
      <w:pPr>
        <w:spacing w:after="0" w:line="1" w:lineRule="exact"/>
        <w:rPr>
          <w:sz w:val="20"/>
          <w:szCs w:val="20"/>
          <w:color w:val="auto"/>
        </w:rPr>
      </w:pPr>
    </w:p>
    <w:p>
      <w:pPr>
        <w:spacing w:after="0" w:line="222" w:lineRule="auto"/>
        <w:rPr>
          <w:sz w:val="20"/>
          <w:szCs w:val="20"/>
          <w:color w:val="auto"/>
        </w:rPr>
      </w:pPr>
      <w:r>
        <w:rPr>
          <w:rFonts w:ascii="Times New Roman" w:cs="Times New Roman" w:eastAsia="Times New Roman" w:hAnsi="Times New Roman"/>
          <w:sz w:val="18"/>
          <w:szCs w:val="18"/>
          <w:color w:val="auto"/>
        </w:rPr>
        <w:t>The drug’s chemistry, toxicology and clinical use are evaluated using data submitted by the sponsoring company. Most of the evaluations are done within the TGA, but external evaluations can be used. When all the data have been evaluated, the application is considered by the Australian Drug Evaluation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Committee (“ADEC”). This committee is a group of doctors appointed by the Minister to advise on the suitability of drugs for marketing in Australia. The TGA takes into consideration the advice received from the ADEC when making a final recommendation.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evaluation process relates to pre-marketing activity, but the TGA is also responsible for drugs after they are marketed.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activities under the control of the TGA include:</w:t>
      </w:r>
    </w:p>
    <w:p>
      <w:pPr>
        <w:spacing w:after="0" w:line="158" w:lineRule="exact"/>
        <w:rPr>
          <w:sz w:val="20"/>
          <w:szCs w:val="20"/>
          <w:color w:val="auto"/>
        </w:rPr>
      </w:pPr>
    </w:p>
    <w:p>
      <w:pPr>
        <w:ind w:left="720" w:right="3020"/>
        <w:spacing w:after="0" w:line="414" w:lineRule="auto"/>
        <w:rPr>
          <w:sz w:val="20"/>
          <w:szCs w:val="20"/>
          <w:color w:val="auto"/>
        </w:rPr>
      </w:pPr>
      <w:r>
        <w:rPr>
          <w:rFonts w:ascii="Times New Roman" w:cs="Times New Roman" w:eastAsia="Times New Roman" w:hAnsi="Times New Roman"/>
          <w:sz w:val="18"/>
          <w:szCs w:val="18"/>
          <w:color w:val="auto"/>
        </w:rPr>
        <w:t>maintenance of the Australian Register of Therapeutic Goods for the registration and listing of products; control of drug and device exports from Australia;</w:t>
      </w:r>
    </w:p>
    <w:p>
      <w:pPr>
        <w:spacing w:after="0" w:line="1" w:lineRule="exact"/>
        <w:rPr>
          <w:sz w:val="20"/>
          <w:szCs w:val="20"/>
          <w:color w:val="auto"/>
        </w:rPr>
      </w:pPr>
    </w:p>
    <w:p>
      <w:pPr>
        <w:ind w:left="720" w:right="6760"/>
        <w:spacing w:after="0" w:line="414" w:lineRule="auto"/>
        <w:rPr>
          <w:sz w:val="20"/>
          <w:szCs w:val="20"/>
          <w:color w:val="auto"/>
        </w:rPr>
      </w:pPr>
      <w:r>
        <w:rPr>
          <w:rFonts w:ascii="Times New Roman" w:cs="Times New Roman" w:eastAsia="Times New Roman" w:hAnsi="Times New Roman"/>
          <w:sz w:val="18"/>
          <w:szCs w:val="18"/>
          <w:color w:val="auto"/>
        </w:rPr>
        <w:t>inspection and licensing of manufacturing premises; post marketing surveillance;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adverse drug reaction monitoring;</w:t>
      </w:r>
    </w:p>
    <w:p>
      <w:pPr>
        <w:spacing w:after="0" w:line="157" w:lineRule="exact"/>
        <w:rPr>
          <w:sz w:val="20"/>
          <w:szCs w:val="20"/>
          <w:color w:val="auto"/>
        </w:rPr>
      </w:pPr>
    </w:p>
    <w:p>
      <w:pPr>
        <w:ind w:left="720" w:right="5060"/>
        <w:spacing w:after="0" w:line="414" w:lineRule="auto"/>
        <w:rPr>
          <w:sz w:val="20"/>
          <w:szCs w:val="20"/>
          <w:color w:val="auto"/>
        </w:rPr>
      </w:pPr>
      <w:r>
        <w:rPr>
          <w:rFonts w:ascii="Times New Roman" w:cs="Times New Roman" w:eastAsia="Times New Roman" w:hAnsi="Times New Roman"/>
          <w:sz w:val="18"/>
          <w:szCs w:val="18"/>
          <w:color w:val="auto"/>
        </w:rPr>
        <w:t>reports were received by the Adverse Drug Reactions Advisory Committee; medical device complaint reporting;</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drug and device recalls;</w:t>
      </w:r>
    </w:p>
    <w:p>
      <w:pPr>
        <w:spacing w:after="0" w:line="15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laboratory testing, sample testing;</w:t>
      </w:r>
    </w:p>
    <w:p>
      <w:pPr>
        <w:spacing w:after="0" w:line="157" w:lineRule="exact"/>
        <w:rPr>
          <w:sz w:val="20"/>
          <w:szCs w:val="20"/>
          <w:color w:val="auto"/>
        </w:rPr>
      </w:pPr>
    </w:p>
    <w:p>
      <w:pPr>
        <w:ind w:left="720" w:right="7700"/>
        <w:spacing w:after="0" w:line="439" w:lineRule="auto"/>
        <w:rPr>
          <w:sz w:val="20"/>
          <w:szCs w:val="20"/>
          <w:color w:val="auto"/>
        </w:rPr>
      </w:pPr>
      <w:r>
        <w:rPr>
          <w:rFonts w:ascii="Times New Roman" w:cs="Times New Roman" w:eastAsia="Times New Roman" w:hAnsi="Times New Roman"/>
          <w:sz w:val="17"/>
          <w:szCs w:val="17"/>
          <w:color w:val="auto"/>
        </w:rPr>
        <w:t>complaint reporting and follow up; and drug and device advertising controls</w:t>
      </w:r>
    </w:p>
    <w:p>
      <w:pPr>
        <w:jc w:val="both"/>
        <w:spacing w:after="0" w:line="222" w:lineRule="auto"/>
        <w:rPr>
          <w:sz w:val="20"/>
          <w:szCs w:val="20"/>
          <w:color w:val="auto"/>
        </w:rPr>
      </w:pPr>
      <w:r>
        <w:rPr>
          <w:rFonts w:ascii="Times New Roman" w:cs="Times New Roman" w:eastAsia="Times New Roman" w:hAnsi="Times New Roman"/>
          <w:sz w:val="18"/>
          <w:szCs w:val="18"/>
          <w:color w:val="auto"/>
        </w:rPr>
        <w:t>The performance of the TGA is monitored in quarterly performance reports which are reviewed by the Industry/Government Consultative Committee. This committee has membership from the TGA, the Department of Finance, the Department of Industry, Science and Technology, and the peak industry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representing the manufacturers of prescription drugs, non-prescription drugs, medical devices and herbal and nutritional products.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TGA does not meet the statutory timelines in approving a drug, then it forgoes 25% of the evaluation fee as a penalty. The sponsor concerned can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also consider the outcome as a “deemed refusal” and appeal to the Administrative Appeals Tribunal for a resolution. For variations to the registration of a drug, the TGA must raise an objection within 45 working days, otherwise the application is deemed to be approved.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Pharmaceutical Coverage, Pricing and Reimbursement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products approved by the FDA and other government authorities. Sales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products. The process for determining whether a payor will provide coverage for a product may be separate from the process for setting the price or reimbursement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coverage to specific products on an approved list, or formulary, which might not include all of the approved products for a particular indication.</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FDA or other comparable regulatory approvals. Nonetheless, product candidates may not be considered medically necessary or cost effective. Additionally, a payor’s decision to provide coverage for a drug product does not imply that an adequate reimbursement rate will be approved. Further, one payor’s determination to provide coverage for a drug product does not assure that other payors will also provide coverage for the drug product. Third-party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reimbursement may not be sufficient to maintain price levels high enough to realize an appropriate return on investment in product development.</w:t>
      </w:r>
    </w:p>
    <w:p>
      <w:pPr>
        <w:sectPr>
          <w:pgSz w:w="11900" w:h="16838" w:orient="portrait"/>
          <w:cols w:equalWidth="0" w:num="1">
            <w:col w:w="11240"/>
          </w:cols>
          <w:pgMar w:left="320" w:top="283" w:right="339" w:bottom="9" w:gutter="0" w:footer="0" w:header="0"/>
        </w:sectPr>
      </w:pPr>
    </w:p>
    <w:bookmarkStart w:id="24" w:name="page25"/>
    <w:bookmarkEnd w:id="24"/>
    <w:p>
      <w:pPr>
        <w:spacing w:after="0" w:line="12"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The containment of healthcare costs also has become a priority of federal, state and foreign governments and the prices of drugs have been a focus in this effort. Governments have shown significant interest in implementing cost-containment programs, including price controls, restrictions on reimbursement</w:t>
      </w:r>
    </w:p>
    <w:p>
      <w:pPr>
        <w:jc w:val="both"/>
        <w:spacing w:after="0" w:line="208" w:lineRule="auto"/>
        <w:rPr>
          <w:sz w:val="20"/>
          <w:szCs w:val="20"/>
          <w:color w:val="auto"/>
        </w:rPr>
      </w:pPr>
      <w:r>
        <w:rPr>
          <w:rFonts w:ascii="Times New Roman" w:cs="Times New Roman" w:eastAsia="Times New Roman" w:hAnsi="Times New Roman"/>
          <w:sz w:val="18"/>
          <w:szCs w:val="18"/>
          <w:color w:val="auto"/>
        </w:rPr>
        <w:t>and requirements for substitution of generic products. Adoption of price controls and cost-containment measures, and adoption of more restrictive policies in jurisdictions with existing controls and measures, could further limit our net revenue and results. Coverage policies and third-party reimbursement rates may change at any time. Even if favorable coverage and reimbursement status is attained for one or more products for which a company or its collaborators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 regulatory approval, less favorable coverage policies and reimbursement rates may be implemented in the future.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United States, ensuring adequate coverage and payment for our product candidates will face challenges. Pricing of prescription pharmaceuticals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 subject to governmental control in many countries. Pricing negotiations with governmental authorities can extend well beyond the receipt of regulatory marketing approval for a product and may require us to conduct a clinical trial that compares the cost effectiveness of our product candidates or products to other available therapies. The conduct of such a clinical trial could be expensive and result in delays in our commercialization efforts.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effectiveness of a particular drug candidate to currently available therapies. 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it may instead adopt a system of direct or indirect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controls on the profitability of the company placing the drug product on the market. Other member states allow companies to fix their own prices for drug products, but monitor and control company profits. The downward pressure on health care costs in general, particularly prescription drugs, has become intense. As a result, increasingly high barriers are being erected to the entry of new products. In addition, in some countries, cross-border imports from low-</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priced markets exert competitive pressure that may reduce pricing within a country. Any country that has price controls or reimbursement limitations for drug products may not allow favorable reimbursement and pricing arrangements.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Law and Regulation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Healthcare providers and third-party payors play a primary role in the recommendation and prescription of drug products that are granted regulatory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131" w:lineRule="exact"/>
        <w:rPr>
          <w:sz w:val="20"/>
          <w:szCs w:val="20"/>
          <w:color w:val="auto"/>
        </w:rPr>
      </w:pPr>
    </w:p>
    <w:p>
      <w:pPr>
        <w:ind w:left="660" w:firstLine="57"/>
        <w:spacing w:after="0" w:line="224" w:lineRule="auto"/>
        <w:rPr>
          <w:sz w:val="20"/>
          <w:szCs w:val="20"/>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118" w:lineRule="exact"/>
        <w:rPr>
          <w:sz w:val="20"/>
          <w:szCs w:val="20"/>
          <w:color w:val="auto"/>
        </w:rPr>
      </w:pPr>
    </w:p>
    <w:p>
      <w:pPr>
        <w:ind w:left="660" w:firstLine="57"/>
        <w:spacing w:after="0" w:line="231" w:lineRule="auto"/>
        <w:rPr>
          <w:sz w:val="20"/>
          <w:szCs w:val="20"/>
          <w:color w:val="auto"/>
        </w:rPr>
      </w:pPr>
      <w:r>
        <w:rPr>
          <w:rFonts w:ascii="Times New Roman" w:cs="Times New Roman" w:eastAsia="Times New Roman" w:hAnsi="Times New Roman"/>
          <w:sz w:val="18"/>
          <w:szCs w:val="18"/>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31" w:lineRule="exact"/>
        <w:rPr>
          <w:sz w:val="20"/>
          <w:szCs w:val="20"/>
          <w:color w:val="auto"/>
        </w:rPr>
      </w:pPr>
    </w:p>
    <w:p>
      <w:pPr>
        <w:ind w:left="660" w:firstLine="57"/>
        <w:spacing w:after="0" w:line="226"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60" w:firstLine="57"/>
        <w:spacing w:after="0" w:line="22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31" w:lineRule="exact"/>
        <w:rPr>
          <w:sz w:val="20"/>
          <w:szCs w:val="20"/>
          <w:color w:val="auto"/>
        </w:rPr>
      </w:pPr>
    </w:p>
    <w:p>
      <w:pPr>
        <w:ind w:left="660" w:firstLine="57"/>
        <w:spacing w:after="0" w:line="217" w:lineRule="auto"/>
        <w:rPr>
          <w:sz w:val="20"/>
          <w:szCs w:val="20"/>
          <w:color w:val="auto"/>
        </w:rPr>
      </w:pPr>
      <w:r>
        <w:rPr>
          <w:rFonts w:ascii="Times New Roman" w:cs="Times New Roman" w:eastAsia="Times New Roman" w:hAnsi="Times New Roman"/>
          <w:sz w:val="18"/>
          <w:szCs w:val="18"/>
          <w:color w:val="auto"/>
        </w:rPr>
        <w:t>the federal transparency requirements known as the federal Physician Payments Sunshine Act, under the Patient Protection and Affordable Care Act, as amended by the Health Care Education Reconciliation Act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132" w:lineRule="exact"/>
        <w:rPr>
          <w:sz w:val="20"/>
          <w:szCs w:val="20"/>
          <w:color w:val="auto"/>
        </w:rPr>
      </w:pPr>
    </w:p>
    <w:p>
      <w:pPr>
        <w:ind w:left="660" w:firstLine="57"/>
        <w:spacing w:after="0" w:line="237" w:lineRule="auto"/>
        <w:rPr>
          <w:sz w:val="20"/>
          <w:szCs w:val="20"/>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Reform</w:t>
      </w:r>
    </w:p>
    <w:p>
      <w:pPr>
        <w:spacing w:after="0" w:line="16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 March 2010, the United States Congress enacted the Affordable Care Act (the “ACA”), which, among other things, includes changes to the coverage and payment for drug products under government health care programs. Among the provisions of the ACA of importance to our potential product candidates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w:t>
      </w:r>
    </w:p>
    <w:p>
      <w:pPr>
        <w:spacing w:after="0" w:line="124"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108" w:lineRule="exact"/>
        <w:rPr>
          <w:sz w:val="20"/>
          <w:szCs w:val="20"/>
          <w:color w:val="auto"/>
        </w:rPr>
      </w:pPr>
    </w:p>
    <w:p>
      <w:pPr>
        <w:ind w:left="660" w:firstLine="57"/>
        <w:spacing w:after="0" w:line="250" w:lineRule="auto"/>
        <w:rPr>
          <w:sz w:val="20"/>
          <w:szCs w:val="20"/>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108" w:lineRule="exact"/>
        <w:rPr>
          <w:sz w:val="20"/>
          <w:szCs w:val="20"/>
          <w:color w:val="auto"/>
        </w:rPr>
      </w:pPr>
    </w:p>
    <w:p>
      <w:pPr>
        <w:ind w:left="660" w:firstLine="57"/>
        <w:spacing w:after="0" w:line="231" w:lineRule="auto"/>
        <w:rPr>
          <w:sz w:val="20"/>
          <w:szCs w:val="20"/>
          <w:color w:val="auto"/>
        </w:rPr>
      </w:pPr>
      <w:r>
        <w:rPr>
          <w:rFonts w:ascii="Times New Roman" w:cs="Times New Roman" w:eastAsia="Times New Roman" w:hAnsi="Times New Roman"/>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131" w:lineRule="exact"/>
        <w:rPr>
          <w:sz w:val="20"/>
          <w:szCs w:val="20"/>
          <w:color w:val="auto"/>
        </w:rPr>
      </w:pPr>
    </w:p>
    <w:p>
      <w:pPr>
        <w:ind w:left="660" w:firstLine="57"/>
        <w:spacing w:after="0" w:line="237" w:lineRule="auto"/>
        <w:rPr>
          <w:sz w:val="20"/>
          <w:szCs w:val="20"/>
          <w:color w:val="auto"/>
        </w:rPr>
      </w:pPr>
      <w:r>
        <w:rPr>
          <w:rFonts w:ascii="Times New Roman" w:cs="Times New Roman" w:eastAsia="Times New Roman" w:hAnsi="Times New Roman"/>
          <w:sz w:val="18"/>
          <w:szCs w:val="18"/>
          <w:color w:val="auto"/>
        </w:rPr>
        <w:t>addressed a new methodology by which rebates owed by manufacturers under the Medicaid Drug Rebate Program are calculated for drugs that are inhaled, infused, instilled, implanted or injected;</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expanded the types of entities eligible for the 340B drug discount program;</w:t>
      </w:r>
    </w:p>
    <w:p>
      <w:pPr>
        <w:sectPr>
          <w:pgSz w:w="11900" w:h="16850" w:orient="portrait"/>
          <w:cols w:equalWidth="0" w:num="1">
            <w:col w:w="11240"/>
          </w:cols>
          <w:pgMar w:left="320" w:top="108" w:right="339" w:bottom="0" w:gutter="0" w:footer="0" w:header="0"/>
        </w:sectPr>
      </w:pPr>
    </w:p>
    <w:bookmarkStart w:id="25" w:name="page26"/>
    <w:bookmarkEnd w:id="25"/>
    <w:p>
      <w:pPr>
        <w:ind w:left="660" w:firstLine="57"/>
        <w:spacing w:after="0" w:line="231" w:lineRule="auto"/>
        <w:rPr>
          <w:sz w:val="20"/>
          <w:szCs w:val="20"/>
          <w:color w:val="auto"/>
        </w:rPr>
      </w:pPr>
      <w:r>
        <w:rPr>
          <w:rFonts w:ascii="Times New Roman" w:cs="Times New Roman" w:eastAsia="Times New Roman" w:hAnsi="Times New Roman"/>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 and</w:t>
      </w:r>
    </w:p>
    <w:p>
      <w:pPr>
        <w:spacing w:after="0" w:line="131" w:lineRule="exact"/>
        <w:rPr>
          <w:sz w:val="20"/>
          <w:szCs w:val="20"/>
          <w:color w:val="auto"/>
        </w:rPr>
      </w:pPr>
    </w:p>
    <w:p>
      <w:pPr>
        <w:ind w:left="660" w:right="20" w:firstLine="57"/>
        <w:spacing w:after="0" w:line="237" w:lineRule="auto"/>
        <w:rPr>
          <w:sz w:val="20"/>
          <w:szCs w:val="20"/>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w:t>
      </w:r>
    </w:p>
    <w:p>
      <w:pPr>
        <w:spacing w:after="0" w:line="131"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legislation’s automatic reduction to several government programs. This includes aggregate reductions of Medicare payments to providers of up to 2% per fiscal year, which went into effect in April 2013 and, due to subsequent legislative amendments to the statute, will remain in effect through 2030 unless additional Congressional action is taken. The reductions have been suspended temporarily through December 2021 in response to the COVID-19</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pandemic. In January 2013, President Obama signed into law the American Taxpayer Relief Act of 2012, which, among other things, further reduced Medicare payments to several providers, including hospitals, imaging centers and cancer treatment centers, and increased the statute of limitations period for the government to recover overpayments to providers from three to five years.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Since enactment of the ACA, there have been numerous legal challenges and Congressional actions to repeal and replace provisions of the law. In May 2017, the U.S. House of Representatives passed legislation known as the American Health Care Act of 2017. Thereafter, the Senate Republicans introduced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then updated a bill to replace the ACA known as the Better Care Reconciliation Act of 2017. The Senate Republicans also introduced legislation to repeal the ACA without companion legislation to replace it, and a “skinny” version of the Better Care Reconciliation Act of 2017. In addition, the Senate considered proposed healthcare reform legislation known as the Graham-Cassidy bill. None of these measures were passed by the U.S. Senate. The ACA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has also been challenged numerous times in various court cases, including challenges before the U.S. Supreme Court. In the most recent case (decided in June 2021) the Supreme Court held that the individual plaintiffs and states lacked standing to challenge the constitutionality of the ACA.</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Previously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In October 2017, President Trump signed a</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second Executive Order allowing for the use of association health plans and short-term health insurance, which may provide fewer health benefits than the plans sold through the ACA exchanges. At the same time, the Administration announced that it will discontinue the payment of cost-sharing reduction (“CSR”), payments to insurance companies until Congress approves the appropriation of funds for such CSR payments. The loss of the CSR payments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expected to increase premiums on certain policies issued by qualified health plans under the ACA.</w:t>
      </w:r>
    </w:p>
    <w:p>
      <w:pPr>
        <w:spacing w:after="0" w:line="12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For CSR claims made by health insurance companies for years 2018 and later, further litigation will be required to determine the amounts due, if any. Further, in June 2018, the U.S. Court of Appeals for the Federal Circuit ruled that the federal government was not required to pay more than $12 billion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Affordable Care Act risk corridor payments to third-party payors who argued the payments were owed to them. In April 2020, the United States Supreme Court reversed the U.S. Court of Appeals for the Federal Circuit’s decision and remanded the case to the U.S. Court of Federal Claims, concluding the government has an obligation to pay these risk corridor payments under the relevant formula.</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 bipartisan bill to appropriate funds for CSR payments was introduced in the Senate, but the future of that bill is uncertain. Further, each chamber of Congress has put forth multiple bills designed to repeal or repeal and replace portions of the ACA. Although none of these measures have been enacted by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Congress to date, Congress may consider other legislation to repeal and replace elements of the ACA. Congress will likely consider other legislation to replace elements of the ACA, during the next Congressional session. We will continue to evaluate the effect that the ACA and its possible repeal and replacement could have on our business.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Most recently, on August 16, 2022, the Inflation Reduction Act of 2022 was signed into law which provides for (i) the government to set or negotiate prices for select high-cost Medicare Part D (beginning in 2026) and Medicare Part B drugs (beginning in 2028) that are more than nine years (for small-molecule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drugs) or 13 years (for biological products) from their FDA approval, (ii) manufacturers to pay a rebate for Medicare Part B and Part D drugs when prices increase faster than inflation beginning in 2022 for Medicare Part D and 2023 for Medicare Part B drugs, and (iii) Medicare Part D redesign which replaces the current coverage gap provisions and establishes a $2,000 cap for out-of-pocket limits costs for Medicare beneficiaries beginning in 2025,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manufacturers being responsible for 10% of costs up to the $2,000 cap and 20% after that cap is reached.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indications for Arakoda may justify higher pricing in principle, but cumulative health-care reforms inclusive of the IRA limit price increases and/or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indication-based pricing without financial penalties if manufacturers’ products have Medicare coverage. The impact of these reforms on the pharmaceutical industry generally is in its infancy, and will depend on how or if they are implemented by regulators. We will monitor this issue to determine the effects of this legislation on our business – full implementation of the reforms may have a negative impact on maximizing the profitability, but the actual impact 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juncture is uncertain.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Human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had a total of three employees, all of whom are full-time. We also utilize the services of two part-time contractors.</w:t>
      </w:r>
    </w:p>
    <w:p>
      <w:pPr>
        <w:spacing w:after="0" w:line="15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individuals to perform to the best of their abilities and achieve our objectives.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60"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https://60degreespharma.com</w:t>
      </w:r>
      <w:r>
        <w:rPr>
          <w:rFonts w:ascii="Times New Roman" w:cs="Times New Roman" w:eastAsia="Times New Roman" w:hAnsi="Times New Roman"/>
          <w:sz w:val="18"/>
          <w:szCs w:val="18"/>
          <w:color w:val="auto"/>
        </w:rPr>
        <w:t>. Our Annual Report on Form 10-K, Quarterly Reports on Form 10-Q, Current Reports on Form 8-K, any amendments to those reports, proxy and registration statements filed or furnished with the SEC, are available free of charge through our website. We</w:t>
      </w:r>
    </w:p>
    <w:p>
      <w:pPr>
        <w:jc w:val="both"/>
        <w:spacing w:after="0" w:line="208" w:lineRule="auto"/>
        <w:rPr>
          <w:sz w:val="20"/>
          <w:szCs w:val="20"/>
          <w:color w:val="auto"/>
        </w:rPr>
      </w:pPr>
      <w:r>
        <w:rPr>
          <w:rFonts w:ascii="Times New Roman" w:cs="Times New Roman" w:eastAsia="Times New Roman" w:hAnsi="Times New Roman"/>
          <w:sz w:val="18"/>
          <w:szCs w:val="18"/>
          <w:color w:val="auto"/>
        </w:rPr>
        <w:t>make these materials available through our website as soon as reasonably practicable after we electronically file such materials with, or furnish such materials to, the SEC. The reports filed with the SEC by our executive officers and directors pursuant to Section 16 under the Exchange Act are also made available, free of charge on our website, as soon as reasonably practicable after copies of those filings are provided to us by those persons. These materials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can be accessed through the “Investor Relations” section of our website. The information contained in, or that can be accessed through, our website is not part of this Annual Report on Form 10-K.</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as defined by Rule 12b-2 of the Exchange Act, we are not required to provide the information in this Item.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ectPr>
          <w:pgSz w:w="11900" w:h="16838" w:orient="portrait"/>
          <w:cols w:equalWidth="0" w:num="1">
            <w:col w:w="11240"/>
          </w:cols>
          <w:pgMar w:left="320" w:top="283" w:right="339" w:bottom="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acknowledge the increasing importance of cybersecurity in today’s digital and interconnected world. Cybersecurity threats pose significant risks to the integrity of our systems and data, potentially impacting our business operations, financial condition and reputation.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currently do not have formalized cybersecurity measures, a dedicated cybersecurity team or specific protocols in place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manage cybersecurity risks. Our approach to cybersecurity is in the developmental stage, and we have not yet conducted comprehensive risk assessments, established an incident response plan or engaged with external cybersecurity consultants for assessments or services.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Given our current stage of cybersecurity development, we have not experienced any significant cybersecurity incidents to date. However, we recognize that the absence of a formalized cybersecurity framework may leave us vulnerable to cyberattacks, data breaches and other cybersecurity incidents. Such events could potentially lead to unauthorized access to, or disclosure of, sensitive information, disrupt our business operations, result in regulatory fines 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litigation costs and negatively impact our reputation among customers and partners. In addition, cybersecurity incidents could have material adverse effects on our business strategy, financial condition, and results of operations (e.g., a significant breach could result in direct financial losses due to fraud, system downtime impacting revenue generation, increased compliance costs or contractual liabilities with third-party vendors and customers).</w:t>
      </w:r>
    </w:p>
    <w:p>
      <w:pPr>
        <w:spacing w:after="0" w:line="13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We are in the process of evaluating our cybersecurity needs and developing appropriate measures to enhance our cybersecurity posture. This includes considering the engagement of external cybersecurity experts to advise on best practices, conducting vulnerability assessments and developing an incident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response strategy. Our goal is to establish a cybersecurity framework that is commensurate with our size, complexity and the nature of our operations, thereby reducing our exposure to cybersecurity risks.</w:t>
      </w:r>
    </w:p>
    <w:p>
      <w:pPr>
        <w:spacing w:after="0" w:line="130"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In addition, the Board will oversee any cybersecurity risk management framework and a dedicated committee of the Board or an officer appointed by the Board will review and approve any cybersecurity policies, strategies and risk management practices. The Board (or designated committee or officer) will receive periodic updates on cybersecurity risks, including emerging threats, mitigation efforts and incident response activities. The updates will be provided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at least annually, or more frequently as needed, to ensure cybersecurity risks are appropriately managed and integrated into our broader risk oversight strategy.</w:t>
      </w:r>
    </w:p>
    <w:p>
      <w:pPr>
        <w:spacing w:after="0" w:line="252"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Despite our efforts to improve our cybersecurity measures, there can be no assurance that our initiatives will fully mitigate the risks posed by cyber threats. The landscape of cybersecurity risks is constantly evolving, and we will continue to assess and update our cybersecurity measures in response to emerging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threats</w:t>
      </w:r>
    </w:p>
    <w:p>
      <w:pPr>
        <w:spacing w:after="0" w:line="12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For a discussion of potential cybersecurity risks affecting us, please refer to the “Risk Factors” section of our Registration Statement on Form S-1 filed with the Securities and Exchange Commission on February 14, 2025 titled “</w:t>
      </w:r>
      <w:r>
        <w:rPr>
          <w:rFonts w:ascii="Times New Roman" w:cs="Times New Roman" w:eastAsia="Times New Roman" w:hAnsi="Times New Roman"/>
          <w:sz w:val="18"/>
          <w:szCs w:val="18"/>
          <w:i w:val="1"/>
          <w:iCs w:val="1"/>
          <w:color w:val="auto"/>
        </w:rPr>
        <w:t>Cybersecurity risks could adversely affect our business and disrupt our operations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2"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Our corporate headquarters are located at 1025 Connecticut Avenue NW Suite 1000, Washington, D.C. 20036. We do not own any physical property, plant or labs. We currently lease one office at the above address, which lease was recently renewed for an additional one-year term expiring on March 31, 2027.</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we may become involved in various claims and legal proceedings. We are not currently a party to any legal proceedings that, in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opinion of our management, are likely to have a material adverse effect on our business. Regardless of the outcome, litigation can have an adverse impact on us because of defense and settlement costs, diversion of management resources and other factors.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192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u w:val="single" w:color="auto"/>
          <w:color w:val="auto"/>
        </w:rPr>
        <w:t>Market Information</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“SXTP,” and warrants under the symbol “SXTPW.” Trading in our common stock has historically lacked consistent volume, and the market price has been volatile.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27, 2026, the closing price for our common stock and warrants as reported on The Nasdaq Capital Market was $1.50 per share and $0.08,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Holders of Common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30, 2026, there were 21 holders of record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8, 2025, a majority of the stockholders of the Company approved the proposed reverse stock split of our Common Stock at a split ratio ranging between 1:3 and 1:10, as to be determined by the Board in its sole discretion. On December 17, 2025, our Board approved a 1-for-4 reverse split ratio. On January 20, 2026, the Company effectuated a 1-for-4 reverse stock split of our common stock (the “1:4 Reverse Stock Split” and together, with the 1:5 Reverse Stock Split and the 1:12 Reverse Stock Split, each as defined below, the “Reverse Stock Splits”). Beginning January 20, 2026, our common stock traded on The Nasdaq Capital Market on a split adjusted basis.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6, 2024, our Board approved a reverse stock split of our Common Stock at a split ratio ranging between 1:3 and 1:5, as determined by the Board in its sole discretion. On November 6, 2024, a majority of the stockholders of the Company approved the proposed reverse stock split. On February 10, 2025, the Board approved a 1-for-5 reverse split ratio. On February 24, 2025, the Company effectuated a 1-for-5 reverse stock split of our common stock (the “1:5 Reverse Stock Split”). Beginning February 24, 2025, our common stock traded on The Nasdaq Capital Market on a split adjusted basis.</w:t>
      </w:r>
    </w:p>
    <w:p>
      <w:pPr>
        <w:sectPr>
          <w:pgSz w:w="11900" w:h="16838" w:orient="portrait"/>
          <w:cols w:equalWidth="0" w:num="1">
            <w:col w:w="11240"/>
          </w:cols>
          <w:pgMar w:left="320" w:top="108" w:right="339" w:bottom="91"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In July 2024, our Board approved a reverse stock split of our Common Stock at a split ratio ranging between 1:5 and 1:12, as determined by the Board in its sole discretion. On July 16, 2024, a majority of the stockholders of the Company approved the proposed reverse stock split. On July 19, 2024, our Board approved a 1-for-12 reverse split ratio. On August 12, 2024, the Company effectuated a 1-for-12 reverse stock split of our common stock (the “1:12 Reverse Stock Split” and together, with the 1:5 Reverse Stock Split, the “Reverse Stock Splits”). Beginning August 12, 2024, our common stock traded on The Nasdaq Capital Market on a split adjusted basis.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common share and applicable per share amounts in this Annual Report on Form 10-K have been retroactively restated to reflect the effect of the Reverse Stock Splits.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Transfer Agent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transfer agent for our common stock is Equity Stock Transfer, LLC (“Equity Stock Transfer”), located at 237 West 37th Street, Suite 602, New York, NY 10018. The phone number and facsimile number for Equity Stock Transfer are (212) 575-5757 and (347) 584-3644, respectively. Additional information about Equity Stock Transfer can be found on its website at </w:t>
      </w:r>
      <w:r>
        <w:rPr>
          <w:rFonts w:ascii="Times New Roman" w:cs="Times New Roman" w:eastAsia="Times New Roman" w:hAnsi="Times New Roman"/>
          <w:sz w:val="18"/>
          <w:szCs w:val="18"/>
          <w:i w:val="1"/>
          <w:iCs w:val="1"/>
          <w:color w:val="auto"/>
        </w:rPr>
        <w:t>www.equitystock.com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Dividend Policy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paid any cash dividends on our common stock. We anticipate that we will retain funds and future earnings to support operations and to finance the growth and development of our business. Therefore, we do not expect to pay cash dividends in the foreseeable future. Any future determination to pay dividends will be at the discretion of our Board and will depend on our financial condition, results of operations, capital requirements, and other factors that our Board deems relevant. In addition, the terms of any future debt or credit financings may preclude us from paying dividends.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Unregistered Sales of Equity Securities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w:t>
      </w:r>
    </w:p>
    <w:p>
      <w:pPr>
        <w:spacing w:after="0" w:line="227" w:lineRule="exact"/>
        <w:rPr>
          <w:sz w:val="20"/>
          <w:szCs w:val="20"/>
          <w:color w:val="auto"/>
        </w:rPr>
      </w:pPr>
    </w:p>
    <w:p>
      <w:pPr>
        <w:ind w:left="660" w:firstLine="57"/>
        <w:spacing w:after="0" w:line="266" w:lineRule="auto"/>
        <w:rPr>
          <w:sz w:val="20"/>
          <w:szCs w:val="20"/>
          <w:color w:val="auto"/>
        </w:rPr>
      </w:pPr>
      <w:r>
        <w:rPr>
          <w:rFonts w:ascii="Times New Roman" w:cs="Times New Roman" w:eastAsia="Times New Roman" w:hAnsi="Times New Roman"/>
          <w:sz w:val="18"/>
          <w:szCs w:val="18"/>
          <w:color w:val="auto"/>
        </w:rPr>
        <w:t>On July 22, 2024 and July 26, 2024, we issued 2,000 and 1,667 shares of common stock to Knight, respectively, upon conversion of 1,291 and 1,032 shares of Series A Preferred Stock, respectively, at the conversion price detailed in Note 6 to the accompanying consolidated financial statements.</w:t>
      </w:r>
    </w:p>
    <w:p>
      <w:pPr>
        <w:spacing w:after="0" w:line="175"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From October 2024 to January 2025, we issued an aggregate of 144,928 shares of common stock upon the exercise of pre-funded warrants issued to investors in the September 2024 private placement.</w:t>
      </w:r>
    </w:p>
    <w:p>
      <w:pPr>
        <w:spacing w:after="0" w:line="161" w:lineRule="exact"/>
        <w:rPr>
          <w:sz w:val="20"/>
          <w:szCs w:val="20"/>
          <w:color w:val="auto"/>
        </w:rPr>
      </w:pPr>
    </w:p>
    <w:p>
      <w:pPr>
        <w:ind w:left="660" w:right="20" w:firstLine="57"/>
        <w:spacing w:after="0" w:line="282" w:lineRule="auto"/>
        <w:rPr>
          <w:sz w:val="20"/>
          <w:szCs w:val="20"/>
          <w:color w:val="auto"/>
        </w:rPr>
      </w:pPr>
      <w:r>
        <w:rPr>
          <w:rFonts w:ascii="Times New Roman" w:cs="Times New Roman" w:eastAsia="Times New Roman" w:hAnsi="Times New Roman"/>
          <w:sz w:val="18"/>
          <w:szCs w:val="18"/>
          <w:color w:val="auto"/>
        </w:rPr>
        <w:t>In July 2025, we issued an aggregate of 219,569 shares of common stock upon the exercise of pre-funded warrants issued to investors in the July 2025 private placement.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issuances of shares of common stock listed above were deemed exempt from registration under Section 4(a)(2) of the Securities Act or Regulation D promulgated thereunder in that the issuance of securities did not involve a public offering.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On September 4, 2024, we issued 144,928 pre-funded warrants, 144,928 Series A Warrants and 144,928 Series B Warrants to investors in a private offering. The Pre-Funded Warrants are exercisable immediately upon issuance and expire when exercised in full at an exercise price of $0.02 per share. The Series A Warrants and Series B Warrants have an exercise price of $27.60 per share and were exercisable beginning on the effective date of stockholder approval of the issuance of the shares of Common Stock (the “Stockholder Approval”), which was received on November 6, 2024. The Series A Warrants will expire five years from Stockholder Approval and the Series B Warrants will expire eighteen (18) months from Stockholder Approval. H.C. Wainwright</w:t>
      </w:r>
    </w:p>
    <w:p>
      <w:pPr>
        <w:spacing w:after="0" w:line="3" w:lineRule="exact"/>
        <w:rPr>
          <w:sz w:val="20"/>
          <w:szCs w:val="20"/>
          <w:color w:val="auto"/>
        </w:rPr>
      </w:pPr>
    </w:p>
    <w:p>
      <w:pPr>
        <w:jc w:val="both"/>
        <w:ind w:firstLine="8"/>
        <w:spacing w:after="0" w:line="255" w:lineRule="auto"/>
        <w:tabs>
          <w:tab w:leader="none" w:pos="20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LLC acted as the exclusive placement agent in connection with the Private Placement. In connection with the Private Placement, we issued to Wainwright the Placement Agent Warrants to purchase 10,870 shares of Common Stock. The Placement Agent Warrants have an exercise price equal to $34.50 per share and are exercisable beginning on the effective date of the Stockholder Approval for five years from Stockholder Approval.</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we issued warrants to purchase up to an aggregate of 102,158 shares of common stock at an exercise price of $ 15.42 per share. The January 2025 Warrants are exercisable upon issuance and expire twenty-four months from the date of issuance. We also issued to the Placement Agent (or its designees) warrants to purchase up to 3,833 shares of common stock. The January 2025 Placement Agent Warrants have an exercise price equal to $ 25.53 per share and are exercisable upon issuance, or January 30, 2025, for twenty-four months from the date of issuance, or January 30, 2027.</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5, 2025, we issued warrants to purchase up to an aggregate of 75,176 shares of common stock at an exercise price of $11.80 per share. The February 2025 Warrants are exercisable upon issuance and expire twenty-four months from the date of issuance. We issued to the Placement Agent (or its designees) warrants to purchase up to 5,640 shares of common stock. The February 2025 Placement Agent Warrants have an exercise price equal to $ 17.88 per share and are exercisable upon issuance, or February 6, 2025, for twenty-four months from the date of issuance, or February 8, 2027.</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warrants described above were deemed exempt from registration in reliance on Section 4(a)(2) of the Securities Act or Regulation D promulgated thereunder in that the issuance of securities were made to an accredited investor and did not involve a public offering. The recipients of such securities represented its intention to acquire the securities for investment purposes only and not with a view to or for sale in connection with any distribution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Option Grants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2024, the effective date of shareholder approval to increase the number of shares authorized under the 2022 Plan, we granted a total of 128 fully vested, non-qualified options to purchase shares of common stock at a per share exercise price of $1,272.00 to the following directors and in the amounts listed: (i) Stephen Toovey (32 common stock options), (ii) Charles Allen (32 common stock options), (iii) Paul Field (32 common stock options) and (iv) Cheryl Xu (32 common stock options).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16, 2024, the effective date of shareholder approval to increase the number of shares authorized under the 2022 Plan, we granted a total of 3,084 options to purchase shares of common stock at a per share exercise price of $240.00 to Geoff Dow, our Chief Executive Officer, (1,250 common stock</w:t>
      </w:r>
    </w:p>
    <w:p>
      <w:pPr>
        <w:sectPr>
          <w:pgSz w:w="11900" w:h="16838" w:orient="portrait"/>
          <w:cols w:equalWidth="0" w:num="1">
            <w:col w:w="11240"/>
          </w:cols>
          <w:pgMar w:left="320" w:top="121" w:right="339" w:bottom="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options), Tyrone Miller, our Chief Financial Officer (1,000 common stock options), and Bryan Smith, an external consultant, (834 common stock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options vest in five equal tranches on the last date of each fiscal year, with the first vesting date being December 31,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26, 2024, we granted 1,042 options to purchase shares of common stock at a per share exercise price of $27.40 to Kristen Landon, our Chief Commercial Officer, which vest in five equal tranches on the last date of each fiscal year, with the first vesting date being December 31,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 2025, we granted a total of 30,000 options to purchase shares of common stock at a per share exercise price of $26.20 to Geoff Dow, our Chief Executive Officer, (26,250 common stock options) and Tyrone Miller, our Chief Financial Officer (3,750 common stock options), which vest in five equal tranches. The first tranche was fully vested on the date of grant and thereafter, the options vest on the last date of each fiscal year beginning December 31,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21, 2025, we granted a total of 8,000 fully vested, non-qualified options to purchase shares of common stock at a per share exercise price of $5.84 to the following directors and in the amounts listed: (i) Stephen Toovey (2,000 common stock options), (ii) Charles Allen (2,000 common stock options), (iii) Paul Field (2,000 common stock options) and (iv) Cheryl Xu (2,000 common stock options).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Equity Incentive Plan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22, 2022, the Board and majority stockholder adopted the 60 Degrees Pharmaceuticals, Inc. 2022 Equity Incentive Plan (the “2022 Plan”). The 2022 Plan provides for the grant of the following types of stock awards: (i) incentive stock options, (ii) nonstatutory stock options, (iii) stock appreciation rights, (iv) restricted stock awards, (v) restricted stock unit awards and (vi) other stock awards. The 2022 Plan is intended to help us secure and retain the services of eligible award recipients, provide incentives for such persons to exert maximum efforts for our success and any of our affiliates and provide a means by which the eligible recipients may benefit from increases in value of the common stock. Initially, the Board reserved 995 shares of common stock issuable upon the grant of awards under the 2022 Plan. The 2022 Plan provides for an automatic increase in the number of shares available for issuance beginning on January 1, 2023 and each January 1 thereafter, by 4% of the number of outstanding shares of common stock on the immediately preceding December 31, or such number of shares as determined by the Board of Directors.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16, 2024, November 6, 2024, and October 8, 2025, our stockholders approved an increase to the number of shares available under the 2022 Plan by 20,834 shares, 25,000 shares, and 62,500 shares respectively, which increases were previously approved by the Board. The total number of shares that remain available for issuance under the 2022 Plan as of December 31, 2025 is 68,760 shares, which additional reservation of shares provides us with flexibility to address future equity compensation needs. This increase is essential to attract and retain qualified employees, directors and consultants, and to align their interests with those of our stockholders.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6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EQUITY PLAN INFORMATION</w:t>
            </w:r>
          </w:p>
        </w:tc>
        <w:tc>
          <w:tcPr>
            <w:tcW w:w="7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0"/>
        </w:trPr>
        <w:tc>
          <w:tcPr>
            <w:tcW w:w="2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issued upon</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exercise or issuance</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price of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options, units,</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20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and</w:t>
            </w:r>
          </w:p>
        </w:tc>
        <w:tc>
          <w:tcPr>
            <w:tcW w:w="12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 units and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future</w:t>
            </w:r>
          </w:p>
        </w:tc>
      </w:tr>
      <w:tr>
        <w:trPr>
          <w:trHeight w:val="245"/>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rights:</w:t>
            </w:r>
          </w:p>
        </w:tc>
        <w:tc>
          <w:tcPr>
            <w:tcW w:w="120" w:type="dxa"/>
            <w:vAlign w:val="bottom"/>
          </w:tcPr>
          <w:p>
            <w:pPr>
              <w:spacing w:after="0"/>
              <w:rPr>
                <w:sz w:val="21"/>
                <w:szCs w:val="21"/>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rights(1):</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176"/>
        </w:trPr>
        <w:tc>
          <w:tcPr>
            <w:tcW w:w="5780" w:type="dxa"/>
            <w:vAlign w:val="bottom"/>
            <w:tcBorders>
              <w:top w:val="single" w:sz="8" w:color="auto"/>
            </w:tcBorders>
            <w:gridSpan w:val="3"/>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2022 Equity Incentive Plan:</w:t>
            </w: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40" w:type="dxa"/>
            <w:vAlign w:val="bottom"/>
            <w:tcBorders>
              <w:top w:val="single" w:sz="8" w:color="auto"/>
            </w:tcBorders>
          </w:tcPr>
          <w:p>
            <w:pPr>
              <w:spacing w:after="0"/>
              <w:rPr>
                <w:sz w:val="2"/>
                <w:szCs w:val="2"/>
                <w:color w:val="auto"/>
              </w:rPr>
            </w:pPr>
          </w:p>
        </w:tc>
        <w:tc>
          <w:tcPr>
            <w:tcW w:w="2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0"/>
        </w:trPr>
        <w:tc>
          <w:tcPr>
            <w:tcW w:w="59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7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21,940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47.18</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68,760</w:t>
            </w:r>
          </w:p>
        </w:tc>
      </w:tr>
      <w:tr>
        <w:trPr>
          <w:trHeight w:val="223"/>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0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0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21,940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47.18</w:t>
            </w:r>
          </w:p>
        </w:tc>
        <w:tc>
          <w:tcPr>
            <w:tcW w:w="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68,760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Balances presented as of December 31, 2025, and reflect the effects of the 1:4 Reverse Stock Split on January 20,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Prospective investors should read the following discussion and analysis of our financial condition and results of operations together with our financial statements and the related notes and other financial information included elsewhere in this annual report. Some of the information contained in this discussion and analysis or set forth elsewhere in this annual report, including information with respect to our plans and strategy for our business, includes forward-looking statements that involve risks and uncertainties. See “Cautionary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This discussion should be read in conjunction with our audited consolidated financial statements and the notes thereto included elsewhere in this report. In this discussion, we may use certain non-generally accepted accounting principles (GAAP) financial measures. An explanation of these non-GAAP financial measures and a reconciliation to the most directly comparable GAAP financial measures are included in this “Management’s Discussion and Analysis of Financial Condition and Results of Operations.” Investors should not consider non-GAAP financial measures in isolation or as substitutes for financial information presented in compliance with GAAP.</w:t>
      </w:r>
    </w:p>
    <w:p>
      <w:pPr>
        <w:sectPr>
          <w:pgSz w:w="11900" w:h="16838" w:orient="portrait"/>
          <w:cols w:equalWidth="0" w:num="1">
            <w:col w:w="11240"/>
          </w:cols>
          <w:pgMar w:left="320" w:top="121" w:right="339" w:bottom="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35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5560"/>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9" w:name="page30"/>
    <w:bookmarkEnd w:id="29"/>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specialty pharmaceutical company with a goal of using cutting-edge biological science and applied research to further develop and commercialize new therapies for the prevention and treatment of infectious diseases. We have successfully achieved regulatory approval of Arakoda® (“Arakoda”), a malaria preventative treatment that has been on the market since late 2019. Currently, 60P’s pipeline under development covers development programs for vector-borne, fungal, and viral diseases utilizing three of the Company’s future products: (i) new products that contain the Arakoda regimen of Tafenoquine; (ii) new products that contain Tafenoquine; and (iii) Celgosivir and/or botanical extracts from Australian Chestnut Trees.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 net of Discounts and Rebates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receive the majority of our product revenues from sales of our Arakoda product to resellers in the U.S. and abroad. Foreign sales to both Australia and Europe were further subject to profit sharing agreements for boxes sold to customers. Sales to resellers in the US are subject to considerable discounts and rebates for services provided by our third-party logistics (“3PL”) partner and wholesalers and pharmacy benefit managers (“PBMs”).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Gross Profit, and Gross Margin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associated with our products is primarily comprised of direct materials, shipping, manufacturing related costs incurred in the production process, serialization costs and inventory write-downs due to expiration.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operating revenues for the periods presented include research revenue earned from the Australian Tax Authority for research activities conducted in Australia. Beginning in the third quarter of 2024, we began to recognize research revenues associated with our new contract with the United States Army Medical Materiel Development Activity (USAMMDA) for Arakoda supply chain upgrade support. Research revenue under this contract is recognized when we incur the direct costs eligible for reimbursement, up to the maximum allowable amount.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for the periods presented primarily consist of contracted R&amp;D services and costs associated with preparation for and conducting our Babesiosis trial. We expense all research and development costs in the period in which they are incurred. Payments made prior to the receipt of goods or services to be used in research and development are recognized as prepaid assets and expensed over the service period as the services are provided. We have also issued shares of our common stock to vendors in exchange for research and development services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primarily consist of salaries, advertising and promotion expenses, professional services fees, such as consulting, audit, accounting and legal fees, general corporate costs and allocated costs, including facilities, information technology and amortization of intangibles.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earn interest income from cash invested in interest-bearing accounts, as well as cash equivalents and short-term investments consisting of certificates of deposits with original maturities ranging from three to six months. Interest expense for the periods presented is limited to a single $150,000 SBA loan that bears interest at 3.75%. Other components of other income (expense) include changes in the fair value of derivative liabilities and other miscellaneous income or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Results of Operations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8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r>
              <w:rPr>
                <w:rFonts w:ascii="Times New Roman" w:cs="Times New Roman" w:eastAsia="Times New Roman" w:hAnsi="Times New Roman"/>
                <w:sz w:val="21"/>
                <w:szCs w:val="21"/>
                <w:color w:val="auto"/>
              </w:rPr>
              <w:t>,</w:t>
            </w:r>
          </w:p>
        </w:tc>
        <w:tc>
          <w:tcPr>
            <w:tcW w:w="0" w:type="dxa"/>
            <w:vAlign w:val="bottom"/>
          </w:tcPr>
          <w:p>
            <w:pPr>
              <w:spacing w:after="0"/>
              <w:rPr>
                <w:sz w:val="1"/>
                <w:szCs w:val="1"/>
                <w:color w:val="auto"/>
              </w:rPr>
            </w:pPr>
          </w:p>
        </w:tc>
      </w:tr>
      <w:tr>
        <w:trPr>
          <w:trHeight w:val="223"/>
        </w:trPr>
        <w:tc>
          <w:tcPr>
            <w:tcW w:w="8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top w:val="single" w:sz="8" w:color="auto"/>
              <w:bottom w:val="single" w:sz="8" w:color="CCEEFF"/>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1,005,471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781,695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223,776</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403,624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627,400</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2,106,156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6,279,823</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8,385,979</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10,011,761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(7,758,579)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(9,715,181)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(7,805)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266,089</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131,970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390,254</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117" w:right="3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
        </w:trPr>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(7,368,325)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(Note 9)</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(7,368,325)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(7,365,158)</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8"/>
              <w:spacing w:after="0"/>
              <w:rPr>
                <w:sz w:val="20"/>
                <w:szCs w:val="20"/>
                <w:color w:val="auto"/>
              </w:rPr>
            </w:pPr>
            <w:r>
              <w:rPr>
                <w:rFonts w:ascii="Times New Roman" w:cs="Times New Roman" w:eastAsia="Times New Roman" w:hAnsi="Times New Roman"/>
                <w:sz w:val="4"/>
                <w:szCs w:val="4"/>
                <w:color w:val="auto"/>
                <w:w w:val="97"/>
              </w:rPr>
              <w:t>$</w:t>
            </w:r>
          </w:p>
        </w:tc>
        <w:tc>
          <w:tcPr>
            <w:tcW w:w="12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(7,947,107)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0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revenue:</w:t>
            </w: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6080" w:type="dxa"/>
            <w:vAlign w:val="bottom"/>
            <w:gridSpan w:val="4"/>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10"/>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r>
              <w:rPr>
                <w:rFonts w:ascii="Times New Roman" w:cs="Times New Roman" w:eastAsia="Times New Roman" w:hAnsi="Times New Roman"/>
                <w:sz w:val="21"/>
                <w:szCs w:val="21"/>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77.74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63.33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40.14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4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209.47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820.73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624.57</w:t>
            </w: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5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834.03</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1,647.83</w:t>
            </w:r>
          </w:p>
        </w:tc>
        <w:tc>
          <w:tcPr>
            <w:tcW w:w="16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(771.64)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(1,599.01)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26.46</w:t>
            </w:r>
          </w:p>
        </w:tc>
        <w:tc>
          <w:tcPr>
            <w:tcW w:w="8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274.20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13.13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16.70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289.60</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(732.82)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(1,309.41)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(Note 9)</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2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(732.82)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(1,309.41)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(0.31)</w:t>
            </w:r>
          </w:p>
        </w:tc>
        <w:tc>
          <w:tcPr>
            <w:tcW w:w="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(732.51)</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(1,308.01)</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5220" w:type="dxa"/>
            <w:vAlign w:val="bottom"/>
          </w:tcPr>
          <w:p>
            <w:pPr>
              <w:spacing w:after="0"/>
              <w:rPr>
                <w:sz w:val="2"/>
                <w:szCs w:val="2"/>
                <w:color w:val="auto"/>
              </w:rPr>
            </w:pPr>
          </w:p>
        </w:tc>
        <w:tc>
          <w:tcPr>
            <w:tcW w:w="5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4"/>
                <w:szCs w:val="24"/>
                <w:color w:val="auto"/>
              </w:rPr>
            </w:pPr>
          </w:p>
        </w:tc>
        <w:tc>
          <w:tcPr>
            <w:tcW w:w="5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9A9A9A"/>
            </w:tcBorders>
          </w:tcPr>
          <w:p>
            <w:pPr>
              <w:spacing w:after="0"/>
              <w:rPr>
                <w:sz w:val="19"/>
                <w:szCs w:val="19"/>
                <w:color w:val="auto"/>
              </w:rPr>
            </w:pPr>
          </w:p>
        </w:tc>
        <w:tc>
          <w:tcPr>
            <w:tcW w:w="4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5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Comparison of the Years Ended December 31, 2025, and 2024</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 - net of Discounts and Rebates, Cost of Revenues, Gross Profit, and Gross Margin</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10"/>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C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1,005,471</w:t>
            </w:r>
          </w:p>
        </w:tc>
        <w:tc>
          <w:tcPr>
            <w:tcW w:w="200" w:type="dxa"/>
            <w:vAlign w:val="bottom"/>
            <w:shd w:val="clear" w:color="auto" w:fill="CCEEFF"/>
          </w:tcPr>
          <w:p>
            <w:pPr>
              <w:spacing w:after="0"/>
              <w:rPr>
                <w:sz w:val="18"/>
                <w:szCs w:val="18"/>
                <w:color w:val="auto"/>
              </w:rPr>
            </w:pPr>
          </w:p>
        </w:tc>
        <w:tc>
          <w:tcPr>
            <w:tcW w:w="1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CCECFF"/>
              </w:rPr>
              <w:t>$</w:t>
            </w:r>
          </w:p>
        </w:tc>
        <w:tc>
          <w:tcPr>
            <w:tcW w:w="2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607,574</w:t>
            </w:r>
          </w:p>
        </w:tc>
        <w:tc>
          <w:tcPr>
            <w:tcW w:w="180" w:type="dxa"/>
            <w:vAlign w:val="bottom"/>
            <w:shd w:val="clear" w:color="auto" w:fill="CCECFF"/>
          </w:tcPr>
          <w:p>
            <w:pPr>
              <w:spacing w:after="0"/>
              <w:rPr>
                <w:sz w:val="18"/>
                <w:szCs w:val="18"/>
                <w:color w:val="auto"/>
              </w:rPr>
            </w:pP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right w:val="single" w:sz="8" w:color="CCECFF"/>
            </w:tcBorders>
            <w:gridSpan w:val="4"/>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397,897</w:t>
            </w:r>
          </w:p>
        </w:tc>
        <w:tc>
          <w:tcPr>
            <w:tcW w:w="120" w:type="dxa"/>
            <w:vAlign w:val="bottom"/>
            <w:shd w:val="clear" w:color="auto" w:fill="CCECFF"/>
          </w:tcPr>
          <w:p>
            <w:pPr>
              <w:spacing w:after="0"/>
              <w:rPr>
                <w:sz w:val="18"/>
                <w:szCs w:val="18"/>
                <w:color w:val="auto"/>
              </w:rPr>
            </w:pPr>
          </w:p>
        </w:tc>
        <w:tc>
          <w:tcPr>
            <w:tcW w:w="12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781,695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384,765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5"/>
          </w:tcPr>
          <w:p>
            <w:pPr>
              <w:jc w:val="right"/>
              <w:ind w:right="98"/>
              <w:spacing w:after="0"/>
              <w:rPr>
                <w:sz w:val="20"/>
                <w:szCs w:val="20"/>
                <w:color w:val="auto"/>
              </w:rPr>
            </w:pPr>
            <w:r>
              <w:rPr>
                <w:rFonts w:ascii="Times New Roman" w:cs="Times New Roman" w:eastAsia="Times New Roman" w:hAnsi="Times New Roman"/>
                <w:sz w:val="18"/>
                <w:szCs w:val="18"/>
                <w:color w:val="auto"/>
              </w:rPr>
              <w:t>396,930</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103.16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223,776</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shd w:val="clear" w:color="auto" w:fill="CCECFF"/>
          </w:tcPr>
          <w:p>
            <w:pPr>
              <w:spacing w:after="0"/>
              <w:rPr>
                <w:sz w:val="21"/>
                <w:szCs w:val="21"/>
                <w:color w:val="auto"/>
              </w:rPr>
            </w:pPr>
          </w:p>
        </w:tc>
        <w:tc>
          <w:tcPr>
            <w:tcW w:w="880" w:type="dxa"/>
            <w:vAlign w:val="bottom"/>
            <w:tcBorders>
              <w:top w:val="single" w:sz="8" w:color="auto"/>
              <w:bottom w:val="single" w:sz="8" w:color="auto"/>
            </w:tcBorders>
            <w:gridSpan w:val="4"/>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222,809</w:t>
            </w:r>
          </w:p>
        </w:tc>
        <w:tc>
          <w:tcPr>
            <w:tcW w:w="180" w:type="dxa"/>
            <w:vAlign w:val="bottom"/>
            <w:tcBorders>
              <w:top w:val="single" w:sz="8" w:color="CCECFF"/>
              <w:bottom w:val="single" w:sz="8" w:color="CCECFF"/>
            </w:tcBorders>
            <w:shd w:val="clear" w:color="auto" w:fill="CCECFF"/>
          </w:tcPr>
          <w:p>
            <w:pPr>
              <w:spacing w:after="0"/>
              <w:rPr>
                <w:sz w:val="21"/>
                <w:szCs w:val="21"/>
                <w:color w:val="auto"/>
              </w:rPr>
            </w:pP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right w:val="single" w:sz="8" w:color="CCECFF"/>
            </w:tcBorders>
            <w:gridSpan w:val="4"/>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6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Margin %</w:t>
            </w: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CFF"/>
              <w:bottom w:val="single" w:sz="8" w:color="auto"/>
            </w:tcBorders>
          </w:tcPr>
          <w:p>
            <w:pPr>
              <w:spacing w:after="0" w:line="20" w:lineRule="exact"/>
              <w:rPr>
                <w:sz w:val="1"/>
                <w:szCs w:val="1"/>
                <w:color w:val="auto"/>
              </w:rPr>
            </w:pPr>
          </w:p>
        </w:tc>
        <w:tc>
          <w:tcPr>
            <w:tcW w:w="240" w:type="dxa"/>
            <w:vAlign w:val="bottom"/>
            <w:tcBorders>
              <w:top w:val="single" w:sz="8" w:color="CCECFF"/>
              <w:bottom w:val="single" w:sz="8" w:color="auto"/>
            </w:tcBorders>
          </w:tcPr>
          <w:p>
            <w:pPr>
              <w:spacing w:after="0" w:line="20" w:lineRule="exact"/>
              <w:rPr>
                <w:sz w:val="1"/>
                <w:szCs w:val="1"/>
                <w:color w:val="auto"/>
              </w:rPr>
            </w:pPr>
          </w:p>
        </w:tc>
        <w:tc>
          <w:tcPr>
            <w:tcW w:w="880" w:type="dxa"/>
            <w:vAlign w:val="bottom"/>
            <w:tcBorders>
              <w:top w:val="single" w:sz="8" w:color="CCECFF"/>
              <w:bottom w:val="single" w:sz="8" w:color="auto"/>
            </w:tcBorders>
            <w:gridSpan w:val="4"/>
          </w:tcPr>
          <w:p>
            <w:pPr>
              <w:spacing w:after="0" w:line="20" w:lineRule="exact"/>
              <w:rPr>
                <w:sz w:val="1"/>
                <w:szCs w:val="1"/>
                <w:color w:val="auto"/>
              </w:rPr>
            </w:pPr>
          </w:p>
        </w:tc>
        <w:tc>
          <w:tcPr>
            <w:tcW w:w="18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bottom w:val="single" w:sz="8" w:color="auto"/>
            </w:tcBorders>
          </w:tcPr>
          <w:p>
            <w:pPr>
              <w:spacing w:after="0" w:line="20" w:lineRule="exact"/>
              <w:rPr>
                <w:sz w:val="1"/>
                <w:szCs w:val="1"/>
                <w:color w:val="auto"/>
              </w:rPr>
            </w:pPr>
          </w:p>
        </w:tc>
        <w:tc>
          <w:tcPr>
            <w:tcW w:w="7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bottom w:val="single" w:sz="8" w:color="auto"/>
            </w:tcBorders>
          </w:tcPr>
          <w:p>
            <w:pPr>
              <w:spacing w:after="0" w:line="20" w:lineRule="exact"/>
              <w:rPr>
                <w:sz w:val="1"/>
                <w:szCs w:val="1"/>
                <w:color w:val="auto"/>
              </w:rPr>
            </w:pPr>
          </w:p>
        </w:tc>
        <w:tc>
          <w:tcPr>
            <w:tcW w:w="8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12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22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36.67%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-1654810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-1654810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Revenues - net of Discounts and Rebates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product revenues - net of discounts and rebates were $1,005,471 for the year ended December 31, 2025, as compared to $607,574 for the year ended December 31, 2024. For the year ended December 31, 2025, our U.S. pharmaceutical distributor accounted for 92% of our total net product sales and Kodatef sales to our Australian distributor accounted for 6% of total net product sales (95% and 5% for the year ended December 31, 2024, respectively). Despite a shortage of Arakoda 16-ct boxes starting in April 2025, which resulted from a delay in completing commercial validation of a new packaging format, domestic, commercial product sales increased during the period, primarily due to the combination of rising sales, price increases and fewer returns.</w:t>
      </w:r>
    </w:p>
    <w:p>
      <w:pPr>
        <w:spacing w:after="0" w:line="183"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We offer discounts and rebates to the civilian U.S. supply chain distribution channel. We record sales when our 3PL partner transfers boxes into their title model. Discounts and rebates offered to our 3PL partner amount to 12% (lower rates available upon reaching larger revenue tiers) along with a $5,500 fixed monthly fee. The product is then transferred usually to one of the three large U.S. pharmaceutical distributors where rebates are 10%. Lastly, we have relationships with several large pharmacy benefit managers (“PBMs”) that allow patients to purchase Arakoda at a discount. The rebate associated with PBMs ranges from 30% to 41.25% depending on the amount of coverage provided. For the year ended December 31, 2025, discounts and rebates were $476,430 compared to $476,218 for the year ended December 31, 2024.</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Arakoda entered the U.S. civilian supply chain in the third quarter of 2019. Since the introduction of the new 8-ct bottle in June 2025, we will be reporting Arakoda unit sales in terms of 16-ct box equivalents. For the year ended December 31, 2024, 5,119 16-ct box equivalents were sold to pharmacies and dispensaries. Sales volume increased by 12% to 5,724 16-ct box equivalents sold to pharmacies and dispensaries for the year ended December 31, 2025.</w:t>
      </w:r>
    </w:p>
    <w:p>
      <w:pPr>
        <w:spacing w:after="0" w:line="17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Kodatef sales to our distributor Biocelect in Australia for the year ended December 31, 2025 were $57,058 ($30,652 for the year ended December 31, 2024). A historical portion of sales to Biocelect remained subject to a profit share distribution once the original transfer price has been recouped. As of December 31, 2025, Biocelect has no inventory left that remains subject to profit share. Biocelect, which acts as a distributor in the Australian and New Zealand markets, reported year-over-year growth of &lt;1%, with 1,854 boxes sold for the year ended December 31, 2025, compared to 1,850 boxes for the year ended December 31, 2024. Additionally, under a new agreement executed during 2025, Biocelect began to purchase from the latest manufactured lot</w:t>
      </w:r>
    </w:p>
    <w:p>
      <w:pPr>
        <w:sectPr>
          <w:pgSz w:w="11900" w:h="16838" w:orient="portrait"/>
          <w:cols w:equalWidth="0" w:num="1">
            <w:col w:w="11260"/>
          </w:cols>
          <w:pgMar w:left="320" w:top="140" w:right="319" w:bottom="0" w:gutter="0" w:footer="0" w:header="0"/>
        </w:sectPr>
      </w:pPr>
    </w:p>
    <w:bookmarkStart w:id="31" w:name="page32"/>
    <w:bookmarkEnd w:id="31"/>
    <w:p>
      <w:pPr>
        <w:jc w:val="both"/>
        <w:spacing w:after="0" w:line="282" w:lineRule="auto"/>
        <w:rPr>
          <w:sz w:val="20"/>
          <w:szCs w:val="20"/>
          <w:color w:val="auto"/>
        </w:rPr>
      </w:pPr>
      <w:r>
        <w:rPr>
          <w:rFonts w:ascii="Times New Roman" w:cs="Times New Roman" w:eastAsia="Times New Roman" w:hAnsi="Times New Roman"/>
          <w:sz w:val="18"/>
          <w:szCs w:val="18"/>
          <w:color w:val="auto"/>
        </w:rPr>
        <w:t>of Kodatef at $49.50 AUD per box which are not subject to historical profit share. As of December 31, 2025, no receivables were due to us ($9,444 as of December 31, 2024).</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Arakoda sales volume in Europe continues to grow. We first shipped Arakoda to our distributor Scandinavian Biopharma (“SB”) in September 2022. For the year ended December 31, 2025, SB reported 353 boxes sold (147 for the year ended December 31, 2024). According to our distributor, this is due to greater interest in treating babesiosis. Additionally, we recorded $22,500 in European sales for the year ended December 31, 2025 ($0 for the year ended December 31, 2024).</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Gross Profit, and Gross Margin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Cost of revenues was $781,695 for the year ended December 31, 2025, as compared to $384,765 for the year ended December 31, 2024. The increase in cost of revenues was, in part, due to higher product sales during the year, as well as higher write-offs of inventory not expected to be sold prior to its expiration date. Write-offs for expiring inventory were $445,181 during the year ended December 31, 2025, as compared to $22,046 during the year ended December 31, 2024. The excess inventory resulted from our strategic decision to validate a new, larger-scale production method with then soon to be expiring raw materials (API), with the offsetting assistance from our USAMMDA grant. The development proved successful but the dating on the produced inventory is already considered in the industry to be short-dated and will have to be replaced by the beginning of the second quarter of 2026. The temporary increase in inventory write-offs was a necessary step in scaling our operations and is not expected to be recurring. Our new larger-scale production processes are expected to help keep inventory costs lower than otherwise. Due to these factors, the Gross Margin % decreased from 36.67% for the year ended December 31, 2024 to 22.26% for the year ended December 31,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Revenues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21"/>
                <w:szCs w:val="21"/>
                <w:color w:val="auto"/>
              </w:rPr>
              <w:t>,</w:t>
            </w:r>
          </w:p>
        </w:tc>
        <w:tc>
          <w:tcPr>
            <w:tcW w:w="10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1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C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C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C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00" w:type="dxa"/>
            <w:vAlign w:val="bottom"/>
            <w:shd w:val="clear" w:color="auto" w:fill="CCEC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403,624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C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73,771</w:t>
            </w:r>
          </w:p>
        </w:tc>
        <w:tc>
          <w:tcPr>
            <w:tcW w:w="1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329,853</w:t>
            </w:r>
          </w:p>
        </w:tc>
        <w:tc>
          <w:tcPr>
            <w:tcW w:w="120" w:type="dxa"/>
            <w:vAlign w:val="bottom"/>
            <w:shd w:val="clear" w:color="auto" w:fill="CCECFF"/>
          </w:tcPr>
          <w:p>
            <w:pPr>
              <w:spacing w:after="0"/>
              <w:rPr>
                <w:sz w:val="18"/>
                <w:szCs w:val="18"/>
                <w:color w:val="auto"/>
              </w:rPr>
            </w:pPr>
          </w:p>
        </w:tc>
        <w:tc>
          <w:tcPr>
            <w:tcW w:w="126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447.13%</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research revenues earned by us were $403,624 for the year ended December 31, 2025, as compared to $73,771 for the year ended December 31, 2024. The increase in research revenues is due to the new USAMMDA contract we were awarded in July 2024 to facilitate commercial validation of a new bottle and replacement blister packaging of Arakoda and the contract we signed with the University of</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Kentucky for tafenoquine clinical trial supply. We recognized research revenues of $298,868 related to the USAMMDA grant for the year ended December 31, 2025 ($12,994 for the year ended December 31, 2024). We recognized research revenues of $89,302 from the University of Kentucky for the year ended December 31, 2025 ($0 for the year ended December 31, 2024). Other research revenues were $15,454 for the year ended December 31, 2025 ($60,777 for the year ended December 31,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21"/>
                <w:szCs w:val="21"/>
                <w:color w:val="auto"/>
              </w:rPr>
              <w:t>,</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gridSpan w:val="2"/>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40" w:type="dxa"/>
            <w:vAlign w:val="bottom"/>
            <w:tcBorders>
              <w:top w:val="single" w:sz="8" w:color="auto"/>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2,106,156</w:t>
            </w:r>
          </w:p>
        </w:tc>
        <w:tc>
          <w:tcPr>
            <w:tcW w:w="100" w:type="dxa"/>
            <w:vAlign w:val="bottom"/>
            <w:tcBorders>
              <w:top w:val="single" w:sz="8" w:color="CCECFF"/>
            </w:tcBorders>
            <w:shd w:val="clear" w:color="auto" w:fill="CCECFF"/>
          </w:tcPr>
          <w:p>
            <w:pPr>
              <w:spacing w:after="0"/>
              <w:rPr>
                <w:sz w:val="18"/>
                <w:szCs w:val="18"/>
                <w:color w:val="auto"/>
              </w:rPr>
            </w:pPr>
          </w:p>
        </w:tc>
        <w:tc>
          <w:tcPr>
            <w:tcW w:w="260" w:type="dxa"/>
            <w:vAlign w:val="bottom"/>
            <w:tcBorders>
              <w:top w:val="single" w:sz="8" w:color="auto"/>
            </w:tcBorders>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4,986,526</w:t>
            </w:r>
          </w:p>
        </w:tc>
        <w:tc>
          <w:tcPr>
            <w:tcW w:w="100" w:type="dxa"/>
            <w:vAlign w:val="bottom"/>
            <w:tcBorders>
              <w:top w:val="single" w:sz="8" w:color="CCECFF"/>
            </w:tcBorders>
            <w:shd w:val="clear" w:color="auto" w:fill="CCECFF"/>
          </w:tcPr>
          <w:p>
            <w:pPr>
              <w:spacing w:after="0"/>
              <w:rPr>
                <w:sz w:val="18"/>
                <w:szCs w:val="18"/>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(2,880,370)</w:t>
            </w:r>
          </w:p>
        </w:tc>
        <w:tc>
          <w:tcPr>
            <w:tcW w:w="120" w:type="dxa"/>
            <w:vAlign w:val="bottom"/>
            <w:tcBorders>
              <w:top w:val="single" w:sz="8" w:color="CCECFF"/>
            </w:tcBorders>
            <w:shd w:val="clear" w:color="auto" w:fill="CCECFF"/>
          </w:tcPr>
          <w:p>
            <w:pPr>
              <w:spacing w:after="0"/>
              <w:rPr>
                <w:sz w:val="18"/>
                <w:szCs w:val="18"/>
                <w:color w:val="auto"/>
              </w:rPr>
            </w:pPr>
          </w:p>
        </w:tc>
        <w:tc>
          <w:tcPr>
            <w:tcW w:w="112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160" w:type="dxa"/>
            <w:vAlign w:val="bottom"/>
            <w:tcBorders>
              <w:top w:val="single" w:sz="8" w:color="CCECFF"/>
            </w:tcBorders>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6,279,823</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5,025,235</w:t>
            </w:r>
          </w:p>
        </w:tc>
        <w:tc>
          <w:tcPr>
            <w:tcW w:w="10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1,254,588</w:t>
            </w:r>
          </w:p>
        </w:tc>
        <w:tc>
          <w:tcPr>
            <w:tcW w:w="1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24.97</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8,385,979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10,011,761</w:t>
            </w:r>
          </w:p>
        </w:tc>
        <w:tc>
          <w:tcPr>
            <w:tcW w:w="100" w:type="dxa"/>
            <w:vAlign w:val="bottom"/>
            <w:tcBorders>
              <w:top w:val="single" w:sz="8" w:color="CCECFF"/>
              <w:bottom w:val="single" w:sz="8" w:color="CCECFF"/>
            </w:tcBorders>
            <w:shd w:val="clear" w:color="auto" w:fill="CCEC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(1,625,782)</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11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60" w:type="dxa"/>
            <w:vAlign w:val="bottom"/>
            <w:tcBorders>
              <w:top w:val="single" w:sz="8" w:color="CCECFF"/>
              <w:bottom w:val="single" w:sz="8" w:color="CCECFF"/>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12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Research and development costs decreased by $2,880,370 during the year ended December 31, 2025 when compared to the year ended December 31, 2024. The decline is primarily attributable to non-cash charges totaling $3,225,000 recognized during the year ended December 31, 2024 related to share-based payments issued to vendors in January 2023 as advance consideration, which payments were initially deferred and capitalized. Kentucky Technology, Inc. delivered us a report on the potential development of SJ733 + tafenoquine in the second quarter of 2024 and Trevally completed the synthesis of 8.8 kilograms of castanospermine in the third quarter of 2024, resulting in $2,625,000 and $600,000, respectively, of research and development expense recognized for the year ended December 31, 2024. Otherwise, research and development costs incurred during the years ended December 31, 2025 and 2024 primarily consisted of costs related to our babesiosis trial for tafenoquine. Direct trial-related costs represent 71% of the total research and development costs at $1,496,148 during the year ended December 31, 2025, compared to 27% of the costs at $1,359,532 during the year ended December 31, 2024. We also recorded $153,198 in research and development expenses related to commercial validation and packaging of Arakoda, for which a majority qualifies for reimbursement under the USAMMDA grant discussed above.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year ended December 31, 2025, our general and administrative expenses increased by 24.97% or $1,254,588 from the year ended December 31, 2024. During the year ended December 31, 2025, we recorded lower compensation expenses including $11,791 of bonus expense and $728,829 of salaries, taxes, and benefits expense, respectively (compared to $275,114 and $662,951 for the year ended December 31, 2024, respectively) due to certain sales and performance bonuses awarded to our executives in 2024. However, during the year ended December 31, 2025, we incurred $518,150 in legal and professional fees, $1,217,826 of investor outreach expenses, and $1,401,529 of sales advisory, advertising and promotion expenses (up from $410,016, $1,019,111, and $433,884 for the year ended December 31, 2024, respectively). Additionally, we recognized higher stock-based compensation costs, from $32,767 for the year ended December 31, 2024 to $279,873 for the year ended December 31, 2025. This increase was in part due to new partially vested option grants awarded to two executives in January 2025 and certain fully vested stock-based awards granted to our directors at the end of 2025, as well as the ongoing quarterly expense recognized for additional stock options granted in the third quarter of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(Expense), Net</w:t>
      </w:r>
    </w:p>
    <w:p>
      <w:pPr>
        <w:spacing w:after="0" w:line="225"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p>
      <w:pPr>
        <w:sectPr>
          <w:pgSz w:w="11900" w:h="16838" w:orient="portrait"/>
          <w:cols w:equalWidth="0" w:num="1">
            <w:col w:w="11240"/>
          </w:cols>
          <w:pgMar w:left="320" w:top="121" w:right="339" w:bottom="0" w:gutter="0" w:footer="0" w:header="0"/>
        </w:sectPr>
      </w:pPr>
    </w:p>
    <w:bookmarkStart w:id="32" w:name="page33"/>
    <w:bookmarkEnd w:id="32"/>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4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21"/>
                <w:szCs w:val="21"/>
                <w:color w:val="auto"/>
              </w:rPr>
              <w:t>,</w:t>
            </w: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0" w:type="dxa"/>
            <w:vAlign w:val="bottom"/>
            <w:vMerge w:val="restart"/>
          </w:tcPr>
          <w:p>
            <w:pPr>
              <w:spacing w:after="0"/>
              <w:rPr>
                <w:sz w:val="24"/>
                <w:szCs w:val="24"/>
                <w:color w:val="auto"/>
              </w:rPr>
            </w:pP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20" w:type="dxa"/>
            <w:vAlign w:val="bottom"/>
            <w:tcBorders>
              <w:bottom w:val="single" w:sz="8" w:color="auto"/>
            </w:tcBorders>
            <w:vMerge w:val="continue"/>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1,665,966</w:t>
            </w: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(1,399,877)</w:t>
            </w:r>
          </w:p>
        </w:tc>
        <w:tc>
          <w:tcPr>
            <w:tcW w:w="120" w:type="dxa"/>
            <w:vAlign w:val="bottom"/>
          </w:tcPr>
          <w:p>
            <w:pPr>
              <w:spacing w:after="0"/>
              <w:rPr>
                <w:sz w:val="21"/>
                <w:szCs w:val="21"/>
                <w:color w:val="auto"/>
              </w:rPr>
            </w:pPr>
          </w:p>
        </w:tc>
        <w:tc>
          <w:tcPr>
            <w:tcW w:w="1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(84.03)</w:t>
            </w:r>
          </w:p>
        </w:tc>
        <w:tc>
          <w:tcPr>
            <w:tcW w:w="0" w:type="dxa"/>
            <w:vAlign w:val="bottom"/>
          </w:tcPr>
          <w:p>
            <w:pPr>
              <w:spacing w:after="0"/>
              <w:rPr>
                <w:sz w:val="1"/>
                <w:szCs w:val="1"/>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101,464</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30.07</w:t>
            </w:r>
          </w:p>
        </w:tc>
        <w:tc>
          <w:tcPr>
            <w:tcW w:w="0" w:type="dxa"/>
            <w:vAlign w:val="bottom"/>
          </w:tcPr>
          <w:p>
            <w:pPr>
              <w:spacing w:after="0"/>
              <w:rPr>
                <w:sz w:val="1"/>
                <w:szCs w:val="1"/>
                <w:color w:val="auto"/>
              </w:rPr>
            </w:pPr>
          </w:p>
        </w:tc>
      </w:tr>
      <w:tr>
        <w:trPr>
          <w:trHeight w:val="210"/>
        </w:trPr>
        <w:tc>
          <w:tcPr>
            <w:tcW w:w="45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3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390,254</w:t>
            </w:r>
          </w:p>
        </w:tc>
        <w:tc>
          <w:tcPr>
            <w:tcW w:w="1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1,759,518</w:t>
            </w: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(1,369,264)</w:t>
            </w: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(77.82)</w:t>
            </w:r>
          </w:p>
        </w:tc>
        <w:tc>
          <w:tcPr>
            <w:tcW w:w="160" w:type="dxa"/>
            <w:vAlign w:val="bottom"/>
            <w:tcBorders>
              <w:top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34"/>
        </w:trPr>
        <w:tc>
          <w:tcPr>
            <w:tcW w:w="4520" w:type="dxa"/>
            <w:vAlign w:val="bottom"/>
          </w:tcPr>
          <w:p>
            <w:pPr>
              <w:spacing w:after="0"/>
              <w:rPr>
                <w:sz w:val="2"/>
                <w:szCs w:val="2"/>
                <w:color w:val="auto"/>
              </w:rPr>
            </w:pPr>
          </w:p>
        </w:tc>
        <w:tc>
          <w:tcPr>
            <w:tcW w:w="134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we recognized $7,805 of interest expense ($7,912 for the year ended December 31, 2024). Our interest expense for the periods presented relates primarily to our single outstanding loan from the SBA. Cash paid for interest was $8,772 and $8,772 for the years ended December 31, 2025 and December 31,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we recognized a net gain on the change in fair value of derivative liabilities of $266,089 compared to a net gain of $1,665,966 for the year ended December 31, 2024. During the years ended December 31, 2025 and December 31, 2024, derivative liabilities include the contingent milestone payment due to Knight upon a future sale of Arakoda or a Change of Control. We use a probability-weighted expected return method to estimate the fair value of this derivative liability.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2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For the year ended December 31, 2025, we recognized $131,970 in other income compared to $101,464 in other income for the year ended December 31, 2024. We recognized interest income of $104,360 during the year ended December 31, 2025 ($103,299 during the year ended December 31, 2024). Other income for the year ended December 31, 2024 also included $10,789 of storage revenue recognized in association with final payment under the legacy contract with the USAMMDA for storing Arakoda purchases. We did not recognize storage revenue for the year ended 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Liquidity and Capital Resources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$1,510,065 ($1,659,353 as of December 31, 2024). For the year ended December 31, 2025 and 2024, our net cash used in operating activities was $6,849,022 and $5,648,088, respectively. To date, we have financed our operations primarily through the issuance of common stock, warrants to purchase common stock, and proceeds from the issuance of convertible debt and promissory notes. Based on current internal projections, taking into consideration the net proceeds of approximately $4.3 million received from the July 2025 public offering, and approximately $4.0 million in gross proceeds received through the 2025 ATM Agreement between October 15, 2026 and March 25, 2026, we estimate that we will have sufficient funds to remain viable through September 30, 2026, assuming no additional capital raises. We cannot give assurance that we can increase our cash balances or limit our cash consumption and thus maintain sufficient cash balances for our planned operations or future acquisitions. Future business demands may lead to cash utilization at levels greater than recently experienced. We may need to raise additional capital in the future. However, we cannot assure you that we will be able to raise additional capital on acceptable terms, or at all.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their audit report for the fiscal year ended December 31, 2025, our auditors have expressed their concern as to our ability to continue as a going concern. Our ability to continue as a going concern is dependent upon our ability to generate cash flows from operations and obtain financing. The audited consolidated financial statements for the years ended December 31, 2025, and December 31, 2024, respectively, included an explanatory note referring to our recurring operating losses and expressing substantial doubt in our ability to continue as a going concern.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results are subject to substantial risks and uncertainties. Since our inception, we have not demonstrated the ability to generate enough revenues to date to cover operating expenses and we have accumulated losses to date. To date, we have funded our operations primarily with proceeds from sales of common stock and warrants for the purchase of common stock, sales of preferred stock, proceeds from the issuance of convertible debt and borrowings under loan and security agreements.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Continuation as a going concern is dependent upon our ability to meet our financial requirements, raise additional capital, and achieve gross profitability from our single marketed product. To achieve profitability, we expect we will need to raise additional capital to fund our activities relating to commercial support for our existing product and any future clinical research trials and operating activities. However, there can be no assurance that we will ever achieve or maintain profitability. These conditions, among others, raise substantial doubt about our ability to continue as a going concern for one year from the date these financial statements are issued.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fund our operations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we will be successful in raising additional capital or that such capital, if available, will be on terms that are favorable to us.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technologies, future revenue streams, research programs or product candidates or grant licenses on terms that may not be favorable to us and/or may reduce the value of our common stock. If we are unable to raise additional funds through equity or debt financings when needed, we may be required to delay, limit, reduce or terminate our product development or future commercialization efforts or grant rights to develop and market our product candidates even if we would otherwise prefer to develop and market such product candidates ourselves.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we have concluded that such plans do not alleviate the substantial doubt about our ability to continue as a going concern for one year from the date the accompanying financial statements are issued.</w:t>
      </w:r>
    </w:p>
    <w:p>
      <w:pPr>
        <w:sectPr>
          <w:pgSz w:w="11900" w:h="16887" w:orient="portrait"/>
          <w:cols w:equalWidth="0" w:num="1">
            <w:col w:w="11240"/>
          </w:cols>
          <w:pgMar w:left="320" w:top="111" w:right="339" w:bottom="0" w:gutter="0" w:footer="0" w:header="0"/>
        </w:sectPr>
      </w:pPr>
    </w:p>
    <w:bookmarkStart w:id="33" w:name="page34"/>
    <w:bookmarkEnd w:id="33"/>
    <w:p>
      <w:pPr>
        <w:spacing w:after="0" w:line="1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50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94"/>
        </w:trPr>
        <w:tc>
          <w:tcPr>
            <w:tcW w:w="4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Less than 1</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20" w:type="dxa"/>
            <w:vAlign w:val="bottom"/>
          </w:tcPr>
          <w:p>
            <w:pPr>
              <w:spacing w:after="0"/>
              <w:rPr>
                <w:sz w:val="16"/>
                <w:szCs w:val="16"/>
                <w:color w:val="auto"/>
              </w:rPr>
            </w:pPr>
          </w:p>
        </w:tc>
      </w:tr>
      <w:tr>
        <w:trPr>
          <w:trHeight w:val="245"/>
        </w:trPr>
        <w:tc>
          <w:tcPr>
            <w:tcW w:w="4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80" w:type="dxa"/>
            <w:vAlign w:val="bottom"/>
          </w:tcPr>
          <w:p>
            <w:pPr>
              <w:spacing w:after="0"/>
              <w:rPr>
                <w:sz w:val="21"/>
                <w:szCs w:val="21"/>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00" w:type="dxa"/>
            <w:vAlign w:val="bottom"/>
          </w:tcPr>
          <w:p>
            <w:pPr>
              <w:spacing w:after="0"/>
              <w:rPr>
                <w:sz w:val="21"/>
                <w:szCs w:val="21"/>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 years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3"/>
              </w:rPr>
              <w:t>Years</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obligations on the debt arrangements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135,629</w:t>
            </w:r>
          </w:p>
        </w:tc>
        <w:tc>
          <w:tcPr>
            <w:tcW w:w="20" w:type="dxa"/>
            <w:vAlign w:val="bottom"/>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Interest obligations on the debt arrangements</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94,917</w:t>
            </w:r>
          </w:p>
        </w:tc>
        <w:tc>
          <w:tcPr>
            <w:tcW w:w="1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8,059</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10,978</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65,427</w:t>
            </w:r>
          </w:p>
        </w:tc>
        <w:tc>
          <w:tcPr>
            <w:tcW w:w="20" w:type="dxa"/>
            <w:vAlign w:val="bottom"/>
          </w:tcPr>
          <w:p>
            <w:pPr>
              <w:spacing w:after="0"/>
              <w:rPr>
                <w:sz w:val="18"/>
                <w:szCs w:val="18"/>
                <w:color w:val="auto"/>
              </w:rPr>
            </w:pPr>
          </w:p>
        </w:tc>
      </w:tr>
      <w:tr>
        <w:trPr>
          <w:trHeight w:val="23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1,459,279</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1,459,279</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210"/>
        </w:trPr>
        <w:tc>
          <w:tcPr>
            <w:tcW w:w="46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1,704,196</w:t>
            </w: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1,468,051</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17,544</w:t>
            </w: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17,545</w:t>
            </w: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201,056</w:t>
            </w:r>
          </w:p>
        </w:tc>
        <w:tc>
          <w:tcPr>
            <w:tcW w:w="20" w:type="dxa"/>
            <w:vAlign w:val="bottom"/>
            <w:tcBorders>
              <w:bottom w:val="single" w:sz="8" w:color="auto"/>
            </w:tcBorders>
          </w:tcPr>
          <w:p>
            <w:pPr>
              <w:spacing w:after="0"/>
              <w:rPr>
                <w:sz w:val="18"/>
                <w:szCs w:val="18"/>
                <w:color w:val="auto"/>
              </w:rPr>
            </w:pPr>
          </w:p>
        </w:tc>
      </w:tr>
      <w:tr>
        <w:trPr>
          <w:trHeight w:val="34"/>
        </w:trPr>
        <w:tc>
          <w:tcPr>
            <w:tcW w:w="4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related to contingent milestone payments are not considered contractual obligations as they are contingent on the achievement of certain milestones. These contingent milestones may or may not be achieved. We have not included any of these amounts in the table above as we cannot estimate or predict when, or if, these amounts will become due.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r>
              <w:rPr>
                <w:rFonts w:ascii="Times New Roman" w:cs="Times New Roman" w:eastAsia="Times New Roman" w:hAnsi="Times New Roman"/>
                <w:sz w:val="21"/>
                <w:szCs w:val="21"/>
                <w:color w:val="auto"/>
              </w:rPr>
              <w:t>,</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28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(6,849,022)</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(5,648,088)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(1,200,934)</w:t>
            </w:r>
          </w:p>
        </w:tc>
        <w:tc>
          <w:tcPr>
            <w:tcW w:w="120" w:type="dxa"/>
            <w:vAlign w:val="bottom"/>
          </w:tcPr>
          <w:p>
            <w:pPr>
              <w:spacing w:after="0"/>
              <w:rPr>
                <w:sz w:val="18"/>
                <w:szCs w:val="18"/>
                <w:color w:val="auto"/>
              </w:rPr>
            </w:pP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21.26%</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(1,889,114)</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2,144,030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6,437,691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7,053,571</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(615,880)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Currency Translation on Cash Flow</w:t>
            </w: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1,328.26</w:t>
            </w:r>
          </w:p>
        </w:tc>
        <w:tc>
          <w:tcPr>
            <w:tcW w:w="0" w:type="dxa"/>
            <w:vAlign w:val="bottom"/>
          </w:tcPr>
          <w:p>
            <w:pPr>
              <w:spacing w:after="0"/>
              <w:rPr>
                <w:sz w:val="1"/>
                <w:szCs w:val="1"/>
                <w:color w:val="auto"/>
              </w:rPr>
            </w:pPr>
          </w:p>
        </w:tc>
      </w:tr>
      <w:tr>
        <w:trPr>
          <w:trHeight w:val="210"/>
        </w:trPr>
        <w:tc>
          <w:tcPr>
            <w:tcW w:w="59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00" w:type="dxa"/>
            <w:vAlign w:val="bottom"/>
            <w:tcBorders>
              <w:top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(149,288)</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(483,132)</w:t>
            </w: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333,844</w:t>
            </w: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(69.10)</w:t>
            </w:r>
          </w:p>
        </w:tc>
        <w:tc>
          <w:tcPr>
            <w:tcW w:w="160" w:type="dxa"/>
            <w:vAlign w:val="bottom"/>
            <w:tcBorders>
              <w:top w:val="single" w:sz="8" w:color="CCEEFF"/>
            </w:tcBorders>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34"/>
        </w:trPr>
        <w:tc>
          <w:tcPr>
            <w:tcW w:w="594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Used in Operating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$6,849,022 for the year ended December 31, 2025, as compared to $5,648,088 for the year ended December 31, 2024. Our net cash used in operating activities increased, in part due to higher general and administrative expenses of $6,279,823 for the year ended December 31, 2025 ($5,025,235 for the year ended December 31, 2024) primarily due to higher cash compensation and related expenses, legal and professional fees, investor outreach expenses, and advertising and promotion expenses, as discussed above. In addition, we incurred $1,496,148 in costs related to our babesiosis trial for tafenoquine during the year ended December 31, 2025 ($1,304,183 during the year ended December 31,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(Used in) Investing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investing activities was $254,916 for the year ended December 31, 2025, as compared to cash used in investing activities of $1,889,114 for the year ended December 31, 2024. The decrease in cash used in investing activities is primarily driven by purchases of short-term certificates of deposit for a total cost of $1,235,000 during the year ended December 31, 2025 ($1,708,000 during the year ended December 31, 2024), purchased for the purposes of earning interest income. Additionally, purchases of computer and lab equipment totaled $139,881 during the year ended December 31, 2025 ($103,773 during the year ended December 31, 2024), and capitalized website development costs and patent costs totaled $22,670 and $55,533, respectively, for the year ended December 31, 2025 ($25,374 and $51,967 for the year ended December 31,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Provided by Financing Activities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$6,437,691 for the year ended December 31, 2025, as compared to $7,053,571 for the year ended December 31, 2024. The decrease in net cash provided by financing activities is primarily attributable to net proceeds aggregating to $7,042,608 received in connection with our common stock and warrant offering in January 2024, (ii) the sale of common stock pursuant to the At-the-Market Sales Agreement in July and August 2024, and (iii) the sale of warrants in our Private Placement offering that closed in September 2024, which exceeded the aggregate net proceeds of $6,452,887 received in connection with our common stock and warrant offerings completed in January, February, and July 2025 and the sale of common stock pursuant to the At-the-Market Sales Agreement in October and December 2025.</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received lower proceeds from the exercise of warrants at $2,804 for the year ended December 31, 2025, compared to $10,963 for the year ended December 31, 2024. Additionally, for the year ended December 31, 2025, we withheld shares valued at $18,000 to cover tax withholdings for net share settlement of certain 2024 performance bonuses awarded to our executives ($0 for the year ended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Foreign Currency Translation on Cash Flow</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foreign operations were small relative to U.S. operations for the years ended December 31, 2025 and December 31, 2024, thus effects of foreign currency translation have been minor.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Critical Accounting Policies, Significant Judgments, and Use of Estimates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ectPr>
          <w:pgSz w:w="11900" w:h="16940" w:orient="portrait"/>
          <w:cols w:equalWidth="0" w:num="1">
            <w:col w:w="11240"/>
          </w:cols>
          <w:pgMar w:left="320" w:top="337" w:right="339" w:bottom="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recognize revenue in accordance with FASB ASC Topic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are recognized when control is transferred to customers in amounts that reflect the consideration we expect to be entitled to receive in exchange for those goods.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we may be required to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may include estimates of variable consideration that result from product returns. We determine the amount of variable consideration by using either the expected value method or the most-likely-amount method. We include the unconstrained amount of estimated variable consideration in the transaction price, which reflects the amount for which it is probable that a significant reversal of cumulative revenue recognized will not occur. At the end of each subsequent reporting period, we re-evaluate the estimated variable consideration included in the transaction price and any related constraint, and if necessary, adjust our estimate of the overall transaction price. Any such adjustments are recorded on a cumulative catch-up basis in the period of adjustment. Reserves are established for the estimates of variable consideration based on the amounts we expect to be earned or to be claimed on the related sales.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U.S. commercial revenues as a receivable when our American distributor transfers shipped product to their title model for 60P. Foreign sales to both Australia and Europe are recognized as a receivable at the point product is shipped to distributor. The shipments to Australia and Europe were further subject to profit sharing agreements for boxes sold to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report inventories at the lower of cost or net realizable value. Cost is comprised of direct materials and, where applicable, costs we incur in bringing the inventories to their present location and condition. We use the Specific Identification method per lot. A box or a bottle price is calculated per lot number and sales are recognized by their lot number.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regularly monitor our inventory levels to identify inventory that may expire or has a cost basis in excess of its estimated realizable value, and record write-downs for inventory that has expired, inventory that has a cost basis in excess of its expected net realizable value, and inventory in excess of expected sales requirements. We charge any write-downs of inventories to Cost of Revenues in the Consolidated Statements of Operations and Comprehensive Loss.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account for share-based payments in accordance with ASC Subtopic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We measure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We account for forfeitures as they occur.</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estimate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our common stock prior to the IPO and lack of company-specific historical implied volatility data, we base our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We generally use the simplified method as prescribed by the SEC Staff Accounting Bulletin Topic 14,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to estimate the expected term for stock options, whereby, the expected term equals the midpoint of the weighted average remaining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vest, vesting period and the contractual term of the options due to our lack of historical exercise data. For certain options granted out-of-the-money, our best estimate of the expected term is the contractual term of the award. The risk-free interest rate is based on U.S. Treasury securities with a maturity date commensurate with the expected term of the associated award. The expected dividend yield is assumed to be zero as we have never paid dividends and have no current plans to pay any dividends on our common stock. The assumptions used in calculating the fair value of share-based awards represent our best estimates and involve inherent uncertainties and the application of significant judgment.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 compensation expense for restricted stock units (“RSUs”) with only service-based vesting conditions on a straight-line basis over the vesting period. Compensation cost for service-based RSUs is based on the grant date fair value of the award, which is the closing market price of our common stock on the grant date multiplied by the number of shares awarded.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fully vested, nonforfeitable equity instruments that are granted at the date we enter into an agreement for goods or services with a nonemployee, we recognize the fair value of the equity instruments on the grant date. The corresponding cost is recognized as an immediate expense or a prepaid asset and expensed over the service period depending on the specific facts and circumstances of the agreement with the nonemployee.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assess the classification of our derivative financial instruments each reporting period, which formerly consisted of bridge shares, convertible notes payable, and certain warrants, and determined that such instruments initially qualified for treatment as derivative liabilities as they met the criteria for</w:t>
      </w:r>
    </w:p>
    <w:p>
      <w:pPr>
        <w:sectPr>
          <w:pgSz w:w="11900" w:h="16838" w:orient="portrait"/>
          <w:cols w:equalWidth="0" w:num="1">
            <w:col w:w="11240"/>
          </w:cols>
          <w:pgMar w:left="320" w:top="333" w:right="339" w:bottom="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liability classification under ASC 815. As of December 31, 2025, our derivative financial instruments consist of contingent payment arrangements.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analyze all financial instruments with features of both liabilities and equity under the Financial Accounting Standards Board (“FASB”) Accounting Standards Codification (“ASC”) Topic No.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FASB ASC Topic No.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(“ASC 815”). Derivative liabilities are adjusted to reflect fair value at each reporting period, with any increase or decrease in the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results of operations, as a component of other income or expense as change in fair value of derivative liabilities. We use a Monte Carlo simulation model or a probability-weighted expected return method to determine the fair value of these instruments.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conversion or repayment of a debt or equity instrument in exchange for equity shares, where the embedded conversion option has been bifurcated and accounted for as a derivative liability (generally convertible debt and warrants), we record the equity shares at fair value on the date of conversion, relieve all related debt, derivative liabilities, and unamortized debt discounts, and recognize a net gain or loss on debt extinguishment,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or liability instruments that become subject to reclassification under ASC Topic 815 are reclassified at the fair value of the instrument on the reclassification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and 2024,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Accounting Election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2012, the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this exemption and, therefore, we will not be subject to the same new or revised accounting standards as other public companies that are not emerging growth companies.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FASB issues Accounting Standards Update (“ASUs”) to amend the authoritative literature in the ASC. We regularly evaluate new ASUs to determine the impact that these pronouncements may have on our consolidated financial statements. Other than the pronouncements listed below, management believes that those issued to date either (i) provide supplemental guidance, (ii) are technical corrections, or (iii) are not applicable to our consolidated financial statements or related disclosures.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expands annual and interim disclosure requirements for reportable segments, primarily through enhanced disclosures about significant segment expenses and segment profit or loss. ASU 2023-07 also requires entities with a single reportable segment to provide all segment disclosures under ASC 280, including the new required disclosures under the ASU. We adopted ASU 2023-07 on a retrospective basis for the 2024 annual period, and for interim periods beginning in 2025. The impact is limited to our financial statement disclosures, which are presented in Note 2 to the accompanying consolidated financial statements.</w:t>
      </w:r>
    </w:p>
    <w:p>
      <w:pPr>
        <w:spacing w:after="0" w:line="18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(ASC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was effective for us for our annual period ending December 31, 2025. The impact of the adoption is limited to our financial statement disclosures, which are presented on a prospective basis. See Note 9 to the accompanying consolidated financial statements.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applies to all public business entities that file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with 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We are currently evaluating the impact that ASU 2024-03 will have on our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 costs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We are currently evaluating the impact that ASU 2025-06 will have on our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Customer in a Revenue Contract </w:t>
      </w:r>
      <w:r>
        <w:rPr>
          <w:rFonts w:ascii="Times New Roman" w:cs="Times New Roman" w:eastAsia="Times New Roman" w:hAnsi="Times New Roman"/>
          <w:sz w:val="18"/>
          <w:szCs w:val="18"/>
          <w:color w:val="auto"/>
        </w:rPr>
        <w:t>(“ASU 2025-07”). ASU 2025-07 adds a new scope exception from derivative accounting under ASC 815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We are currently evaluating the impact that ASU 2025-06 will have on our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qualify as a smaller reporting company, as defined by SEC Rule 229.10(f)(1) and are not required to provide the information required by this Item.</w:t>
      </w:r>
    </w:p>
    <w:p>
      <w:pPr>
        <w:sectPr>
          <w:pgSz w:w="11900" w:h="16838" w:orient="portrait"/>
          <w:cols w:equalWidth="0" w:num="1">
            <w:col w:w="11240"/>
          </w:cols>
          <w:pgMar w:left="320" w:top="121" w:right="339" w:bottom="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21" w:right="339" w:bottom="0" w:gutter="0" w:footer="0" w:header="0"/>
          <w:type w:val="continuous"/>
        </w:sectPr>
      </w:pPr>
    </w:p>
    <w:bookmarkStart w:id="36" w:name="page37"/>
    <w:bookmarkEnd w:id="3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2984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7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480" w:type="dxa"/>
            <w:vAlign w:val="bottom"/>
          </w:tcPr>
          <w:p>
            <w:pPr>
              <w:spacing w:after="0"/>
              <w:rPr>
                <w:sz w:val="20"/>
                <w:szCs w:val="20"/>
                <w:color w:val="auto"/>
              </w:rPr>
            </w:pPr>
          </w:p>
        </w:tc>
      </w:tr>
      <w:tr>
        <w:trPr>
          <w:trHeight w:val="432"/>
        </w:trPr>
        <w:tc>
          <w:tcPr>
            <w:tcW w:w="3780" w:type="dxa"/>
            <w:vAlign w:val="bottom"/>
          </w:tcPr>
          <w:p>
            <w:pPr>
              <w:spacing w:after="0"/>
              <w:rPr>
                <w:sz w:val="24"/>
                <w:szCs w:val="24"/>
                <w:color w:val="auto"/>
              </w:rPr>
            </w:pPr>
          </w:p>
        </w:tc>
        <w:tc>
          <w:tcPr>
            <w:tcW w:w="5980" w:type="dxa"/>
            <w:vAlign w:val="bottom"/>
            <w:gridSpan w:val="6"/>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148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75"/>
        </w:trPr>
        <w:tc>
          <w:tcPr>
            <w:tcW w:w="97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1"/>
        </w:trPr>
        <w:tc>
          <w:tcPr>
            <w:tcW w:w="37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Audited Consolidated Balance Sheets at December 31, 2025 and 2024</w:t>
            </w:r>
          </w:p>
        </w:tc>
        <w:tc>
          <w:tcPr>
            <w:tcW w:w="1480" w:type="dxa"/>
            <w:vAlign w:val="bottom"/>
          </w:tcPr>
          <w:p>
            <w:pPr>
              <w:ind w:left="86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1"/>
        </w:trPr>
        <w:tc>
          <w:tcPr>
            <w:tcW w:w="37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8900" w:type="dxa"/>
            <w:vAlign w:val="bottom"/>
            <w:tcBorders>
              <w:bottom w:val="single" w:sz="8" w:color="0000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w w:val="99"/>
              </w:rPr>
              <w:t>Audited Consolidated Statements of Operations and Comprehensive Loss for the years ended December 31, 2025 and 2024</w:t>
            </w:r>
          </w:p>
        </w:tc>
        <w:tc>
          <w:tcPr>
            <w:tcW w:w="8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6"/>
        </w:trPr>
        <w:tc>
          <w:tcPr>
            <w:tcW w:w="97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FF"/>
              </w:rPr>
              <w:t>Audited Consolidated Statements of Shareholders’ Equity for the years ended December 31, 2025 and 2024</w:t>
            </w:r>
          </w:p>
        </w:tc>
        <w:tc>
          <w:tcPr>
            <w:tcW w:w="1480" w:type="dxa"/>
            <w:vAlign w:val="bottom"/>
          </w:tcPr>
          <w:p>
            <w:pPr>
              <w:ind w:left="86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0"/>
        </w:trPr>
        <w:tc>
          <w:tcPr>
            <w:tcW w:w="37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96"/>
        </w:trPr>
        <w:tc>
          <w:tcPr>
            <w:tcW w:w="97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Audited Consolidated Statements of Cash Flows for the years ended December 31, 2025 and 2024</w:t>
            </w:r>
          </w:p>
        </w:tc>
        <w:tc>
          <w:tcPr>
            <w:tcW w:w="1480" w:type="dxa"/>
            <w:vAlign w:val="bottom"/>
            <w:shd w:val="clear" w:color="auto" w:fill="CCEEFF"/>
          </w:tcPr>
          <w:p>
            <w:pPr>
              <w:ind w:left="86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176"/>
        </w:trPr>
        <w:tc>
          <w:tcPr>
            <w:tcW w:w="7080" w:type="dxa"/>
            <w:vAlign w:val="bottom"/>
            <w:tcBorders>
              <w:top w:val="single" w:sz="8" w:color="0000FF"/>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FF"/>
              </w:rPr>
              <w:t>Notes to Audited Consolidated Financial Statements</w:t>
            </w:r>
          </w:p>
        </w:tc>
        <w:tc>
          <w:tcPr>
            <w:tcW w:w="2680" w:type="dxa"/>
            <w:vAlign w:val="bottom"/>
            <w:tcBorders>
              <w:top w:val="single" w:sz="8" w:color="CCEEFF"/>
            </w:tcBorders>
            <w:gridSpan w:val="3"/>
          </w:tcPr>
          <w:p>
            <w:pPr>
              <w:spacing w:after="0"/>
              <w:rPr>
                <w:sz w:val="15"/>
                <w:szCs w:val="15"/>
                <w:color w:val="auto"/>
              </w:rPr>
            </w:pPr>
          </w:p>
        </w:tc>
        <w:tc>
          <w:tcPr>
            <w:tcW w:w="1480" w:type="dxa"/>
            <w:vAlign w:val="bottom"/>
            <w:tcBorders>
              <w:top w:val="single" w:sz="8" w:color="CCEEFF"/>
            </w:tcBorders>
          </w:tcPr>
          <w:p>
            <w:pPr>
              <w:ind w:left="860"/>
              <w:spacing w:after="0" w:line="176" w:lineRule="exact"/>
              <w:rPr>
                <w:sz w:val="20"/>
                <w:szCs w:val="20"/>
                <w:color w:val="auto"/>
              </w:rPr>
            </w:pPr>
            <w:r>
              <w:rPr>
                <w:rFonts w:ascii="Times New Roman" w:cs="Times New Roman" w:eastAsia="Times New Roman" w:hAnsi="Times New Roman"/>
                <w:sz w:val="18"/>
                <w:szCs w:val="18"/>
                <w:color w:val="auto"/>
              </w:rPr>
              <w:t>F-8</w:t>
            </w:r>
          </w:p>
        </w:tc>
      </w:tr>
      <w:tr>
        <w:trPr>
          <w:trHeight w:val="453"/>
        </w:trPr>
        <w:tc>
          <w:tcPr>
            <w:tcW w:w="378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700" w:type="dxa"/>
            <w:vAlign w:val="bottom"/>
            <w:gridSpan w:val="4"/>
          </w:tcPr>
          <w:p>
            <w:pPr>
              <w:jc w:val="center"/>
              <w:ind w:right="3580"/>
              <w:spacing w:after="0"/>
              <w:rPr>
                <w:sz w:val="20"/>
                <w:szCs w:val="20"/>
                <w:color w:val="auto"/>
              </w:rPr>
            </w:pPr>
            <w:r>
              <w:rPr>
                <w:rFonts w:ascii="Times New Roman" w:cs="Times New Roman" w:eastAsia="Times New Roman" w:hAnsi="Times New Roman"/>
                <w:sz w:val="18"/>
                <w:szCs w:val="18"/>
                <w:color w:val="auto"/>
                <w:w w:val="95"/>
              </w:rPr>
              <w:t>F-1</w:t>
            </w:r>
          </w:p>
        </w:tc>
        <w:tc>
          <w:tcPr>
            <w:tcW w:w="14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Degrees Pharmaceuticals,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60 Degrees Pharmaceuticals, Inc. and subsidiary (“the Company”) as of December 31, 2025 and 2024, and the related statements of operations and comprehensive loss, shareholders’ equity, and cash flows for each of the years in the two-year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years in the two-year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an accumulated deficit, recurring losses and expects future losses that raise substantial doubt about the Company’s ability to continue as a going concern. Management’s evaluation of the events and conditions and management’s plans regarding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RBSM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587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1,510,065</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1,659,353</w:t>
            </w:r>
          </w:p>
        </w:tc>
      </w:tr>
    </w:tbl>
    <w:p>
      <w:pPr>
        <w:sectPr>
          <w:pgSz w:w="11900" w:h="16900" w:orient="portrait"/>
          <w:cols w:equalWidth="0" w:num="1">
            <w:col w:w="11240"/>
          </w:cols>
          <w:pgMar w:left="320" w:top="360" w:right="3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509,644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486,748</w:t>
            </w: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and Other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978,131</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1,068,940</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1,240,721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1,728,472</w:t>
            </w:r>
          </w:p>
        </w:tc>
      </w:tr>
      <w:tr>
        <w:trPr>
          <w:trHeight w:val="23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(Note 3)</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656,924</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442,764</w:t>
            </w:r>
          </w:p>
        </w:tc>
      </w:tr>
      <w:tr>
        <w:trPr>
          <w:trHeight w:val="210"/>
        </w:trPr>
        <w:tc>
          <w:tcPr>
            <w:tcW w:w="8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4,895,485</w:t>
            </w: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5,386,277</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(Note 4)</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149,808</w:t>
            </w: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Prepaid Expense</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66,176</w:t>
            </w:r>
          </w:p>
        </w:tc>
      </w:tr>
      <w:tr>
        <w:trPr>
          <w:trHeight w:val="22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net (Note 5)</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224,361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157,084</w:t>
            </w:r>
          </w:p>
        </w:tc>
      </w:tr>
      <w:tr>
        <w:trPr>
          <w:trHeight w:val="236"/>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224,361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223,260</w:t>
            </w:r>
          </w:p>
        </w:tc>
      </w:tr>
      <w:tr>
        <w:trPr>
          <w:trHeight w:val="210"/>
        </w:trPr>
        <w:tc>
          <w:tcPr>
            <w:tcW w:w="822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5,366,211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5,759,345</w:t>
            </w:r>
          </w:p>
        </w:tc>
      </w:tr>
      <w:tr>
        <w:trPr>
          <w:trHeight w:val="34"/>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1,459,279</w:t>
            </w:r>
          </w:p>
        </w:tc>
        <w:tc>
          <w:tcPr>
            <w:tcW w:w="36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1,007,618</w:t>
            </w:r>
          </w:p>
        </w:tc>
      </w:tr>
      <w:tr>
        <w:trPr>
          <w:trHeight w:val="229"/>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EIDL (</w:t>
            </w:r>
            <w:r>
              <w:rPr>
                <w:rFonts w:ascii="Times New Roman" w:cs="Times New Roman" w:eastAsia="Times New Roman" w:hAnsi="Times New Roman"/>
                <w:sz w:val="18"/>
                <w:szCs w:val="18"/>
                <w:i w:val="1"/>
                <w:iCs w:val="1"/>
                <w:color w:val="auto"/>
              </w:rPr>
              <w:t>including accrued interest</w:t>
            </w:r>
            <w:r>
              <w:rPr>
                <w:rFonts w:ascii="Times New Roman" w:cs="Times New Roman" w:eastAsia="Times New Roman" w:hAnsi="Times New Roman"/>
                <w:sz w:val="18"/>
                <w:szCs w:val="18"/>
                <w:color w:val="auto"/>
              </w:rPr>
              <w:t>) (Note 7)</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8,772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8,772</w:t>
            </w:r>
          </w:p>
        </w:tc>
      </w:tr>
      <w:tr>
        <w:trPr>
          <w:trHeight w:val="236"/>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Derivative Liabilities (Note 8)</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374,741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640,830</w:t>
            </w:r>
          </w:p>
        </w:tc>
      </w:tr>
      <w:tr>
        <w:trPr>
          <w:trHeight w:val="210"/>
        </w:trPr>
        <w:tc>
          <w:tcPr>
            <w:tcW w:w="8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1,842,792</w:t>
            </w: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1,657,220</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3"/>
        </w:trPr>
        <w:tc>
          <w:tcPr>
            <w:tcW w:w="8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SBA EIDL (</w:t>
            </w:r>
            <w:r>
              <w:rPr>
                <w:rFonts w:ascii="Times New Roman" w:cs="Times New Roman" w:eastAsia="Times New Roman" w:hAnsi="Times New Roman"/>
                <w:sz w:val="18"/>
                <w:szCs w:val="18"/>
                <w:i w:val="1"/>
                <w:iCs w:val="1"/>
                <w:color w:val="auto"/>
              </w:rPr>
              <w:t>including accrued interest</w:t>
            </w:r>
            <w:r>
              <w:rPr>
                <w:rFonts w:ascii="Times New Roman" w:cs="Times New Roman" w:eastAsia="Times New Roman" w:hAnsi="Times New Roman"/>
                <w:sz w:val="18"/>
                <w:szCs w:val="18"/>
                <w:color w:val="auto"/>
              </w:rPr>
              <w:t>) (Note 7)</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144,003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147,119</w:t>
            </w:r>
          </w:p>
        </w:tc>
      </w:tr>
      <w:tr>
        <w:trPr>
          <w:trHeight w:val="236"/>
        </w:trPr>
        <w:tc>
          <w:tcPr>
            <w:tcW w:w="8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144,003</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147,119</w:t>
            </w:r>
          </w:p>
        </w:tc>
      </w:tr>
      <w:tr>
        <w:trPr>
          <w:trHeight w:val="210"/>
        </w:trPr>
        <w:tc>
          <w:tcPr>
            <w:tcW w:w="82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1,986,795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1,804,339</w:t>
            </w:r>
          </w:p>
        </w:tc>
      </w:tr>
      <w:tr>
        <w:trPr>
          <w:trHeight w:val="21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98"/>
        </w:trPr>
        <w:tc>
          <w:tcPr>
            <w:tcW w:w="82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1,000,000 shares authorized; 76,480 and 76,480 issued and</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2025 and December 31, 2024, respectively (Note 6)</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9,567,439</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9,567,439</w:t>
            </w: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Common Stock, $0.0001 par value, 150,000,000 shares authorized; 1,163,142 and 141,749 issued and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40"/>
        </w:trPr>
        <w:tc>
          <w:tcPr>
            <w:tcW w:w="8220" w:type="dxa"/>
            <w:vAlign w:val="bottom"/>
          </w:tcPr>
          <w:p>
            <w:pPr>
              <w:spacing w:after="0" w:line="241" w:lineRule="exact"/>
              <w:rPr>
                <w:sz w:val="20"/>
                <w:szCs w:val="20"/>
                <w:color w:val="auto"/>
              </w:rPr>
            </w:pPr>
            <w:r>
              <w:rPr>
                <w:rFonts w:ascii="Times New Roman" w:cs="Times New Roman" w:eastAsia="Times New Roman" w:hAnsi="Times New Roman"/>
                <w:sz w:val="18"/>
                <w:szCs w:val="18"/>
                <w:color w:val="auto"/>
              </w:rPr>
              <w:t>outstanding as of December 31, 2025 and December 31, 2024, respectively</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(Note 6)</w:t>
            </w: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83"/>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r>
              <w:rPr>
                <w:rFonts w:ascii="Times New Roman" w:cs="Times New Roman" w:eastAsia="Times New Roman" w:hAnsi="Times New Roman"/>
                <w:sz w:val="24"/>
                <w:szCs w:val="24"/>
                <w:color w:val="auto"/>
                <w:vertAlign w:val="superscript"/>
              </w:rPr>
              <w:t>(1)</w:t>
            </w:r>
          </w:p>
        </w:tc>
        <w:tc>
          <w:tcPr>
            <w:tcW w:w="3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41,646,139</w:t>
            </w:r>
          </w:p>
        </w:tc>
        <w:tc>
          <w:tcPr>
            <w:tcW w:w="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34,860,633</w:t>
            </w:r>
          </w:p>
        </w:tc>
      </w:tr>
      <w:tr>
        <w:trPr>
          <w:trHeight w:val="23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142,598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135,471</w:t>
            </w:r>
          </w:p>
        </w:tc>
      </w:tr>
      <w:tr>
        <w:trPr>
          <w:trHeight w:val="23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(47,893,115)</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(40,527,957)</w:t>
            </w:r>
          </w:p>
        </w:tc>
      </w:tr>
      <w:tr>
        <w:trPr>
          <w:trHeight w:val="203"/>
        </w:trPr>
        <w:tc>
          <w:tcPr>
            <w:tcW w:w="82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60P Shareholders’ Equity:</w:t>
            </w: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3,463,177</w:t>
            </w:r>
          </w:p>
        </w:tc>
        <w:tc>
          <w:tcPr>
            <w:tcW w:w="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4,035,600</w:t>
            </w:r>
          </w:p>
        </w:tc>
      </w:tr>
      <w:tr>
        <w:trPr>
          <w:trHeight w:val="236"/>
        </w:trPr>
        <w:tc>
          <w:tcPr>
            <w:tcW w:w="8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(83,761)</w:t>
            </w: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(80,594)</w:t>
            </w:r>
          </w:p>
        </w:tc>
      </w:tr>
      <w:tr>
        <w:trPr>
          <w:trHeight w:val="210"/>
        </w:trPr>
        <w:tc>
          <w:tcPr>
            <w:tcW w:w="82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3,379,416</w:t>
            </w:r>
          </w:p>
        </w:tc>
        <w:tc>
          <w:tcPr>
            <w:tcW w:w="60" w:type="dxa"/>
            <w:vAlign w:val="bottom"/>
            <w:tcBorders>
              <w:top w:val="single" w:sz="8" w:color="CCEEFF"/>
              <w:bottom w:val="single" w:sz="8" w:color="CCEEFF"/>
            </w:tcBorders>
          </w:tcPr>
          <w:p>
            <w:pPr>
              <w:spacing w:after="0"/>
              <w:rPr>
                <w:sz w:val="18"/>
                <w:szCs w:val="18"/>
                <w:color w:val="auto"/>
              </w:rPr>
            </w:pPr>
          </w:p>
        </w:tc>
        <w:tc>
          <w:tcPr>
            <w:tcW w:w="6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3,955,006</w:t>
            </w:r>
          </w:p>
        </w:tc>
      </w:tr>
      <w:tr>
        <w:trPr>
          <w:trHeight w:val="248"/>
        </w:trPr>
        <w:tc>
          <w:tcPr>
            <w:tcW w:w="8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5,366,211</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5,759,345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Periods presented have been adjusted to reflect the 1:4 reverse stock split on January 20,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 which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0" w:type="dxa"/>
            <w:vAlign w:val="bottom"/>
          </w:tcPr>
          <w:p>
            <w:pPr>
              <w:spacing w:after="0"/>
              <w:rPr>
                <w:sz w:val="1"/>
                <w:szCs w:val="1"/>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Revenues – net of Discounts and Rebates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1,005,471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781,695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223,776</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Research Revenues</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403,624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627,400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2,106,156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4,986,526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6,279,823</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5,025,235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8,385,979</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10,011,761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(7,758,579)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(9,715,181)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(7,805)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266,089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131,970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Interest and Other Income (Expense), net</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390,254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1,759,518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Operations before Provision for Income Taxes</w:t>
            </w:r>
          </w:p>
        </w:tc>
        <w:tc>
          <w:tcPr>
            <w:tcW w:w="14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(7,368,325)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 (Note 9)</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including Noncontrolling Interest</w:t>
            </w: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(7,368,325)</w:t>
            </w: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Loss – attributed to 60 Degrees Pharmaceuticals, Inc.</w:t>
            </w: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(7,365,158)</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(7,947,107)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4000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16"/>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(7,368,325)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Foreign Currency Translation Gain (Loss)</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(7,361,198)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(7,955,753)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 Noncontrolling Interest</w:t>
            </w:r>
          </w:p>
        </w:tc>
        <w:tc>
          <w:tcPr>
            <w:tcW w:w="3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1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Comprehensive Loss – attributed to 60 Degrees Pharmaceuticals, Inc.</w:t>
            </w: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(7,358,031)</w:t>
            </w:r>
          </w:p>
        </w:tc>
        <w:tc>
          <w:tcPr>
            <w:tcW w:w="8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(7,947,197)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Cumulative Dividends on Series A Preferred Stock</w:t>
            </w:r>
          </w:p>
        </w:tc>
        <w:tc>
          <w:tcPr>
            <w:tcW w:w="36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(501,056)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(483,301)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 attributed to common stockholders</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(7,859,087)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(8,430,498)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Net Loss per Common Share</w:t>
            </w:r>
            <w:r>
              <w:rPr>
                <w:rFonts w:ascii="Times New Roman" w:cs="Times New Roman" w:eastAsia="Times New Roman" w:hAnsi="Times New Roman"/>
                <w:sz w:val="24"/>
                <w:szCs w:val="24"/>
                <w:color w:val="auto"/>
                <w:vertAlign w:val="superscript"/>
              </w:rPr>
              <w:t>(1)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(11.73)</w:t>
            </w:r>
          </w:p>
        </w:tc>
        <w:tc>
          <w:tcPr>
            <w:tcW w:w="42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spacing w:after="0" w:line="229"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r>
              <w:rPr>
                <w:rFonts w:ascii="Times New Roman" w:cs="Times New Roman" w:eastAsia="Times New Roman" w:hAnsi="Times New Roman"/>
                <w:sz w:val="24"/>
                <w:szCs w:val="24"/>
                <w:color w:val="auto"/>
                <w:vertAlign w:val="superscript"/>
              </w:rPr>
              <w:t>(1)</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and Diluted</w:t>
            </w:r>
          </w:p>
        </w:tc>
        <w:tc>
          <w:tcPr>
            <w:tcW w:w="36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670,211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113,665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Periods presented have been adjusted to reflect the 1:4 reverse stock split on January 20, 2026.</w:t>
      </w:r>
    </w:p>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 which are an integral part of these consolidated financial statements.</w:t>
      </w: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 Ended December 31, 2025</w:t>
            </w: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5"/>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jc w:val="right"/>
              <w:ind w:right="143"/>
              <w:spacing w:after="0"/>
              <w:rPr>
                <w:sz w:val="20"/>
                <w:szCs w:val="20"/>
                <w:color w:val="auto"/>
              </w:rPr>
            </w:pPr>
            <w:r>
              <w:rPr>
                <w:rFonts w:ascii="Times New Roman" w:cs="Times New Roman" w:eastAsia="Times New Roman" w:hAnsi="Times New Roman"/>
                <w:sz w:val="8"/>
                <w:szCs w:val="8"/>
                <w:b w:val="1"/>
                <w:bCs w:val="1"/>
                <w:color w:val="auto"/>
              </w:rPr>
              <w:t>(1)</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Shareholders’</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540" w:type="dxa"/>
            <w:vAlign w:val="bottom"/>
            <w:tcBorders>
              <w:bottom w:val="single" w:sz="8" w:color="auto"/>
            </w:tcBorders>
            <w:gridSpan w:val="5"/>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3"/>
          </w:tcPr>
          <w:p>
            <w:pPr>
              <w:jc w:val="right"/>
              <w:ind w:right="243"/>
              <w:spacing w:after="0" w:line="88" w:lineRule="exact"/>
              <w:rPr>
                <w:sz w:val="20"/>
                <w:szCs w:val="20"/>
                <w:color w:val="auto"/>
              </w:rPr>
            </w:pPr>
            <w:r>
              <w:rPr>
                <w:rFonts w:ascii="Times New Roman" w:cs="Times New Roman" w:eastAsia="Times New Roman" w:hAnsi="Times New Roman"/>
                <w:sz w:val="10"/>
                <w:szCs w:val="10"/>
                <w:b w:val="1"/>
                <w:bCs w:val="1"/>
                <w:color w:val="auto"/>
              </w:rPr>
              <w:t>Common Stock</w:t>
            </w: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140"/>
              <w:spacing w:after="0" w:line="115" w:lineRule="exact"/>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2"/>
          </w:tcPr>
          <w:p>
            <w:pPr>
              <w:jc w:val="center"/>
              <w:ind w:right="60"/>
              <w:spacing w:after="0" w:line="11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tcPr>
          <w:p>
            <w:pPr>
              <w:jc w:val="center"/>
              <w:ind w:right="20"/>
              <w:spacing w:after="0" w:line="115" w:lineRule="exact"/>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Attributable to</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 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 w:type="dxa"/>
            <w:vAlign w:val="bottom"/>
          </w:tcPr>
          <w:p>
            <w:pPr>
              <w:spacing w:after="0"/>
              <w:rPr>
                <w:sz w:val="14"/>
                <w:szCs w:val="14"/>
                <w:color w:val="auto"/>
              </w:rPr>
            </w:pP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3"/>
                <w:szCs w:val="13"/>
                <w:b w:val="1"/>
                <w:bCs w:val="1"/>
                <w:color w:val="auto"/>
                <w:w w:val="93"/>
              </w:rPr>
              <w:t>Capital</w:t>
            </w:r>
            <w:r>
              <w:rPr>
                <w:rFonts w:ascii="Times New Roman" w:cs="Times New Roman" w:eastAsia="Times New Roman" w:hAnsi="Times New Roman"/>
                <w:sz w:val="16"/>
                <w:szCs w:val="16"/>
                <w:b w:val="1"/>
                <w:bCs w:val="1"/>
                <w:color w:val="auto"/>
                <w:w w:val="93"/>
                <w:vertAlign w:val="superscript"/>
              </w:rPr>
              <w:t>(1)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60P</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Shareholders</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2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Balance—December 31, 2024</w:t>
            </w:r>
          </w:p>
        </w:tc>
        <w:tc>
          <w:tcPr>
            <w:tcW w:w="640" w:type="dxa"/>
            <w:vAlign w:val="bottom"/>
            <w:tcBorders>
              <w:top w:val="single" w:sz="8" w:color="auto"/>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76,480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9,567,439</w:t>
            </w: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141,749</w:t>
            </w:r>
          </w:p>
        </w:tc>
        <w:tc>
          <w:tcPr>
            <w:tcW w:w="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34,860,633</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(40,527,957)</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135,471</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4,035,600</w:t>
            </w: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(80,594)</w:t>
            </w:r>
          </w:p>
        </w:tc>
        <w:tc>
          <w:tcPr>
            <w:tcW w:w="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3,955,006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pursuant to January 2025 Offering, net of</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offering costs paid at closing and deferred</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offering costs (Note 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51,079</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804,346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804,346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pursuant to February 2025 Offering, net of</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offering costs paid at closing and deferred</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offering costs (Note 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75,176</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908,627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908,627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Pre-Funded Warrants</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315,869</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shares for annual performance</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bonuses, net of shares withheld for taxes</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103,544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and warrants</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pursuant to July 2025 Offering, net of</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offering costs paid at closing and deferred</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offering costs (Note 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438,332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4,281,256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4,281,300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4,281,300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pursuant to</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ATM Offering, net of offering costs paid at</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closing and deferred offering costs (Note 6)</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136,991</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405,114</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405,114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Share rounding adjustment for 1:5 Reverse</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Split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64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279,873</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279,873</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279,873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foreign translation gain</w:t>
            </w:r>
          </w:p>
        </w:tc>
        <w:tc>
          <w:tcPr>
            <w:tcW w:w="64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7,127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7,127</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loss</w:t>
            </w:r>
          </w:p>
        </w:tc>
        <w:tc>
          <w:tcPr>
            <w:tcW w:w="64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(7,365,158)</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(7,365,158)</w:t>
            </w:r>
          </w:p>
        </w:tc>
        <w:tc>
          <w:tcPr>
            <w:tcW w:w="2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(3,167)</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(7,368,325)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Balance— December 31, 2025</w:t>
            </w:r>
          </w:p>
        </w:tc>
        <w:tc>
          <w:tcPr>
            <w:tcW w:w="640" w:type="dxa"/>
            <w:vAlign w:val="bottom"/>
            <w:tcBorders>
              <w:bottom w:val="single" w:sz="8" w:color="auto"/>
            </w:tcBorders>
            <w:gridSpan w:val="2"/>
          </w:tcPr>
          <w:p>
            <w:pPr>
              <w:jc w:val="right"/>
              <w:ind w:right="40"/>
              <w:spacing w:after="0" w:line="115" w:lineRule="exact"/>
              <w:rPr>
                <w:sz w:val="20"/>
                <w:szCs w:val="20"/>
                <w:color w:val="auto"/>
              </w:rPr>
            </w:pPr>
            <w:r>
              <w:rPr>
                <w:rFonts w:ascii="Times New Roman" w:cs="Times New Roman" w:eastAsia="Times New Roman" w:hAnsi="Times New Roman"/>
                <w:sz w:val="13"/>
                <w:szCs w:val="13"/>
                <w:b w:val="1"/>
                <w:bCs w:val="1"/>
                <w:color w:val="auto"/>
              </w:rPr>
              <w:t>76,480</w:t>
            </w:r>
          </w:p>
        </w:tc>
        <w:tc>
          <w:tcPr>
            <w:tcW w:w="60" w:type="dxa"/>
            <w:vAlign w:val="bottom"/>
          </w:tcPr>
          <w:p>
            <w:pPr>
              <w:spacing w:after="0"/>
              <w:rPr>
                <w:sz w:val="12"/>
                <w:szCs w:val="12"/>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9,567,439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Borders>
              <w:bottom w:val="single" w:sz="8" w:color="auto"/>
            </w:tcBorders>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1,163,142</w:t>
            </w:r>
          </w:p>
        </w:tc>
        <w:tc>
          <w:tcPr>
            <w:tcW w:w="60" w:type="dxa"/>
            <w:vAlign w:val="bottom"/>
          </w:tcPr>
          <w:p>
            <w:pPr>
              <w:spacing w:after="0"/>
              <w:rPr>
                <w:sz w:val="12"/>
                <w:szCs w:val="12"/>
                <w:color w:val="auto"/>
              </w:rPr>
            </w:pPr>
          </w:p>
        </w:tc>
        <w:tc>
          <w:tcPr>
            <w:tcW w:w="6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w w:val="92"/>
              </w:rPr>
              <w:t>116</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41,646,139</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(47,893,115)</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142,598</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3,463,177</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(83,761)</w:t>
            </w:r>
          </w:p>
        </w:tc>
        <w:tc>
          <w:tcPr>
            <w:tcW w:w="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8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3,379,416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74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gridSpan w:val="2"/>
          </w:tcPr>
          <w:p>
            <w:pPr>
              <w:spacing w:after="0"/>
              <w:rPr>
                <w:sz w:val="19"/>
                <w:szCs w:val="19"/>
                <w:color w:val="auto"/>
              </w:rPr>
            </w:pPr>
          </w:p>
        </w:tc>
        <w:tc>
          <w:tcPr>
            <w:tcW w:w="60" w:type="dxa"/>
            <w:vAlign w:val="bottom"/>
            <w:tcBorders>
              <w:bottom w:val="single" w:sz="8" w:color="9A9A9A"/>
            </w:tcBorders>
            <w:gridSpan w:val="2"/>
          </w:tcPr>
          <w:p>
            <w:pPr>
              <w:spacing w:after="0"/>
              <w:rPr>
                <w:sz w:val="19"/>
                <w:szCs w:val="19"/>
                <w:color w:val="auto"/>
              </w:rPr>
            </w:pPr>
          </w:p>
        </w:tc>
        <w:tc>
          <w:tcPr>
            <w:tcW w:w="880" w:type="dxa"/>
            <w:vAlign w:val="bottom"/>
            <w:tcBorders>
              <w:bottom w:val="single" w:sz="8" w:color="9A9A9A"/>
            </w:tcBorders>
            <w:gridSpan w:val="3"/>
          </w:tcPr>
          <w:p>
            <w:pPr>
              <w:spacing w:after="0"/>
              <w:rPr>
                <w:sz w:val="19"/>
                <w:szCs w:val="19"/>
                <w:color w:val="auto"/>
              </w:rPr>
            </w:pPr>
          </w:p>
        </w:tc>
        <w:tc>
          <w:tcPr>
            <w:tcW w:w="60" w:type="dxa"/>
            <w:vAlign w:val="bottom"/>
            <w:tcBorders>
              <w:bottom w:val="single" w:sz="8" w:color="9A9A9A"/>
            </w:tcBorders>
            <w:gridSpan w:val="2"/>
          </w:tcPr>
          <w:p>
            <w:pPr>
              <w:spacing w:after="0"/>
              <w:rPr>
                <w:sz w:val="19"/>
                <w:szCs w:val="19"/>
                <w:color w:val="auto"/>
              </w:rPr>
            </w:pPr>
          </w:p>
        </w:tc>
        <w:tc>
          <w:tcPr>
            <w:tcW w:w="880" w:type="dxa"/>
            <w:vAlign w:val="bottom"/>
            <w:tcBorders>
              <w:bottom w:val="single" w:sz="8" w:color="9A9A9A"/>
            </w:tcBorders>
            <w:gridSpan w:val="3"/>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8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8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13"/>
          </w:tcPr>
          <w:p>
            <w:pPr>
              <w:ind w:left="40"/>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7"/>
          </w:tcPr>
          <w:p>
            <w:pPr>
              <w:ind w:left="100"/>
              <w:spacing w:after="0"/>
              <w:rPr>
                <w:sz w:val="20"/>
                <w:szCs w:val="20"/>
                <w:color w:val="auto"/>
              </w:rPr>
            </w:pPr>
            <w:r>
              <w:rPr>
                <w:rFonts w:ascii="Times New Roman" w:cs="Times New Roman" w:eastAsia="Times New Roman" w:hAnsi="Times New Roman"/>
                <w:sz w:val="13"/>
                <w:szCs w:val="13"/>
                <w:b w:val="1"/>
                <w:bCs w:val="1"/>
                <w:color w:val="auto"/>
              </w:rPr>
              <w:t>Series A Preferred Stock</w:t>
            </w:r>
          </w:p>
        </w:tc>
        <w:tc>
          <w:tcPr>
            <w:tcW w:w="20" w:type="dxa"/>
            <w:vAlign w:val="bottom"/>
          </w:tcPr>
          <w:p>
            <w:pPr>
              <w:spacing w:after="0"/>
              <w:rPr>
                <w:sz w:val="15"/>
                <w:szCs w:val="15"/>
                <w:color w:val="auto"/>
              </w:rPr>
            </w:pPr>
          </w:p>
        </w:tc>
        <w:tc>
          <w:tcPr>
            <w:tcW w:w="1440" w:type="dxa"/>
            <w:vAlign w:val="bottom"/>
            <w:gridSpan w:val="3"/>
          </w:tcPr>
          <w:p>
            <w:pPr>
              <w:jc w:val="right"/>
              <w:ind w:right="103"/>
              <w:spacing w:after="0" w:line="182" w:lineRule="exact"/>
              <w:rPr>
                <w:sz w:val="20"/>
                <w:szCs w:val="20"/>
                <w:color w:val="auto"/>
              </w:rPr>
            </w:pP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4"/>
              </w:rPr>
              <w:t>Shareholders’</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restart"/>
          </w:tcPr>
          <w:p>
            <w:pPr>
              <w:jc w:val="center"/>
              <w:ind w:right="100"/>
              <w:spacing w:after="0" w:line="81" w:lineRule="exact"/>
              <w:rPr>
                <w:sz w:val="20"/>
                <w:szCs w:val="20"/>
                <w:color w:val="auto"/>
              </w:rPr>
            </w:pPr>
            <w:r>
              <w:rPr>
                <w:rFonts w:ascii="Times New Roman" w:cs="Times New Roman" w:eastAsia="Times New Roman" w:hAnsi="Times New Roman"/>
                <w:sz w:val="9"/>
                <w:szCs w:val="9"/>
                <w:b w:val="1"/>
                <w:bCs w:val="1"/>
                <w:color w:val="auto"/>
              </w:rPr>
              <w:t>Other</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restart"/>
          </w:tcPr>
          <w:p>
            <w:pPr>
              <w:jc w:val="center"/>
              <w:ind w:right="180"/>
              <w:spacing w:after="0" w:line="81" w:lineRule="exact"/>
              <w:rPr>
                <w:sz w:val="20"/>
                <w:szCs w:val="20"/>
                <w:color w:val="auto"/>
              </w:rPr>
            </w:pPr>
            <w:r>
              <w:rPr>
                <w:rFonts w:ascii="Times New Roman" w:cs="Times New Roman" w:eastAsia="Times New Roman" w:hAnsi="Times New Roman"/>
                <w:sz w:val="9"/>
                <w:szCs w:val="9"/>
                <w:b w:val="1"/>
                <w:bCs w:val="1"/>
                <w:color w:val="auto"/>
              </w:rPr>
              <w:t>Equity</w:t>
            </w: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restart"/>
          </w:tcPr>
          <w:p>
            <w:pPr>
              <w:jc w:val="center"/>
              <w:ind w:right="40"/>
              <w:spacing w:after="0" w:line="81" w:lineRule="exact"/>
              <w:rPr>
                <w:sz w:val="20"/>
                <w:szCs w:val="20"/>
                <w:color w:val="auto"/>
              </w:rPr>
            </w:pPr>
            <w:r>
              <w:rPr>
                <w:rFonts w:ascii="Times New Roman" w:cs="Times New Roman" w:eastAsia="Times New Roman" w:hAnsi="Times New Roman"/>
                <w:sz w:val="9"/>
                <w:szCs w:val="9"/>
                <w:b w:val="1"/>
                <w:bCs w:val="1"/>
                <w:color w:val="auto"/>
              </w:rPr>
              <w:t>Noncontrolling</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restart"/>
          </w:tcPr>
          <w:p>
            <w:pPr>
              <w:jc w:val="center"/>
              <w:spacing w:after="0" w:line="81" w:lineRule="exact"/>
              <w:rPr>
                <w:sz w:val="20"/>
                <w:szCs w:val="20"/>
                <w:color w:val="auto"/>
              </w:rPr>
            </w:pPr>
            <w:r>
              <w:rPr>
                <w:rFonts w:ascii="Times New Roman" w:cs="Times New Roman" w:eastAsia="Times New Roman" w:hAnsi="Times New Roman"/>
                <w:sz w:val="9"/>
                <w:szCs w:val="9"/>
                <w:b w:val="1"/>
                <w:bCs w:val="1"/>
                <w:color w:val="auto"/>
              </w:rPr>
              <w:t>Total</w:t>
            </w: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gridSpan w:val="3"/>
            <w:vMerge w:val="continue"/>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Attributable</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Interest on</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Shareholders'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57"/>
              <w:spacing w:after="0" w:line="162" w:lineRule="exact"/>
              <w:rPr>
                <w:sz w:val="20"/>
                <w:szCs w:val="20"/>
                <w:color w:val="auto"/>
              </w:rPr>
            </w:pPr>
            <w:r>
              <w:rPr>
                <w:rFonts w:ascii="Times New Roman" w:cs="Times New Roman" w:eastAsia="Times New Roman" w:hAnsi="Times New Roman"/>
                <w:sz w:val="13"/>
                <w:szCs w:val="13"/>
                <w:b w:val="1"/>
                <w:bCs w:val="1"/>
                <w:color w:val="auto"/>
                <w:w w:val="93"/>
              </w:rPr>
              <w:t>Capital</w:t>
            </w:r>
            <w:r>
              <w:rPr>
                <w:rFonts w:ascii="Times New Roman" w:cs="Times New Roman" w:eastAsia="Times New Roman" w:hAnsi="Times New Roman"/>
                <w:sz w:val="16"/>
                <w:szCs w:val="16"/>
                <w:b w:val="1"/>
                <w:bCs w:val="1"/>
                <w:color w:val="auto"/>
                <w:w w:val="93"/>
                <w:vertAlign w:val="superscript"/>
              </w:rPr>
              <w:t>(1)</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6"/>
              </w:rPr>
              <w:t>to 60P</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Shareholders</w:t>
            </w: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Balance—December 31, 2023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78,803</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9,858,040</w:t>
            </w:r>
          </w:p>
        </w:tc>
        <w:tc>
          <w:tcPr>
            <w:tcW w:w="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24,226</w:t>
            </w:r>
          </w:p>
        </w:tc>
        <w:tc>
          <w:tcPr>
            <w:tcW w:w="700" w:type="dxa"/>
            <w:vAlign w:val="bottom"/>
            <w:gridSpan w:val="2"/>
            <w:shd w:val="clear" w:color="auto" w:fill="CCEEFF"/>
          </w:tcPr>
          <w:p>
            <w:pPr>
              <w:jc w:val="right"/>
              <w:ind w:right="523"/>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27,457,381</w:t>
            </w:r>
          </w:p>
        </w:tc>
        <w:tc>
          <w:tcPr>
            <w:tcW w:w="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(32,580,850)</w:t>
            </w:r>
          </w:p>
        </w:tc>
        <w:tc>
          <w:tcPr>
            <w:tcW w:w="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135,561</w:t>
            </w:r>
          </w:p>
        </w:tc>
        <w:tc>
          <w:tcPr>
            <w:tcW w:w="20" w:type="dxa"/>
            <w:vAlign w:val="bottom"/>
            <w:shd w:val="clear" w:color="auto" w:fill="CCEEFF"/>
          </w:tcPr>
          <w:p>
            <w:pPr>
              <w:spacing w:after="0"/>
              <w:rPr>
                <w:sz w:val="18"/>
                <w:szCs w:val="18"/>
                <w:color w:val="auto"/>
              </w:rPr>
            </w:pPr>
          </w:p>
        </w:tc>
        <w:tc>
          <w:tcPr>
            <w:tcW w:w="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4,870,134</w:t>
            </w:r>
          </w:p>
        </w:tc>
        <w:tc>
          <w:tcPr>
            <w:tcW w:w="2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(72,038)</w:t>
            </w:r>
          </w:p>
        </w:tc>
        <w:tc>
          <w:tcPr>
            <w:tcW w:w="20" w:type="dxa"/>
            <w:vAlign w:val="bottom"/>
            <w:shd w:val="clear" w:color="auto" w:fill="CCEEFF"/>
          </w:tcPr>
          <w:p>
            <w:pPr>
              <w:spacing w:after="0"/>
              <w:rPr>
                <w:sz w:val="18"/>
                <w:szCs w:val="18"/>
                <w:color w:val="auto"/>
              </w:rPr>
            </w:pPr>
          </w:p>
        </w:tc>
        <w:tc>
          <w:tcPr>
            <w:tcW w:w="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4,798,096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w w:val="99"/>
              </w:rPr>
              <w:t>Issuance of common stock and warrants, net</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w w:val="99"/>
              </w:rPr>
              <w:t>of underwriting discounts and offering costs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paid at closing and deferred offering costs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21,922</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1,898,294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1,898,296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1,898,296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upon exercise of</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Pre-Funded Warrants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52,792</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Issuance of shares for RSUs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1,070</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Voluntary return of shares issued to vendor</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for services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Voluntary conversion of Series A Preferred</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Stock into common stock</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(290,601)</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3,667</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290,600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9"/>
              </w:rPr>
              <w:t>Issuance of common stock pursuant to ATM</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w w:val="97"/>
              </w:rPr>
              <w:t>Offering, net of offering costs paid at closing</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and deferred offering costs (Note 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33,897</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1,729,807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1,729,810</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1,729,810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Issuance of warrants in Private Placement,</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of offering costs paid at closing and</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deferred offering costs (Note 6)</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3,414,502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3,414,502</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3,414,502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Issuance of common stock for fractional</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shares pursuant to 1:12 Reverse Stock Split</w:t>
            </w: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rounding adjustment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4,675</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3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Share-based compensation to vendors for</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services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26,325</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foreign translation loss</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(7,947,107)</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(7,947,107)</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(8,556)</w:t>
            </w: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(7,955,663)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2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 December 31, 2024</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76,480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9,567,439</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141,749</w:t>
            </w:r>
          </w:p>
        </w:tc>
        <w:tc>
          <w:tcPr>
            <w:tcW w:w="60" w:type="dxa"/>
            <w:vAlign w:val="bottom"/>
          </w:tcPr>
          <w:p>
            <w:pPr>
              <w:spacing w:after="0"/>
              <w:rPr>
                <w:sz w:val="15"/>
                <w:szCs w:val="15"/>
                <w:color w:val="auto"/>
              </w:rPr>
            </w:pPr>
          </w:p>
        </w:tc>
        <w:tc>
          <w:tcPr>
            <w:tcW w:w="6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34,860,633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(40,527,957)</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135,471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4,035,600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(80,594)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3,955,006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2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-3458210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-3458210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0" w:right="319" w:bottom="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(1) Periods presented have been adjusted to reflect the 1:4 reverse stock split on January 20, 2026.</w:t>
      </w:r>
    </w:p>
    <w:p>
      <w:pPr>
        <w:spacing w:after="0" w:line="18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See accompanying notes to these consolidated financial statements which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r>
              <w:rPr>
                <w:rFonts w:ascii="Times New Roman" w:cs="Times New Roman" w:eastAsia="Times New Roman" w:hAnsi="Times New Roman"/>
                <w:sz w:val="21"/>
                <w:szCs w:val="21"/>
                <w:color w:val="auto"/>
              </w:rPr>
              <w:t>,</w:t>
            </w:r>
          </w:p>
        </w:tc>
        <w:tc>
          <w:tcPr>
            <w:tcW w:w="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(7,368,325)</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43,324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39,548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ROU Asset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Share-Based Payments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176,471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3,575,881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 under Equity Incentive Plan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279,873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(266,089)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 of Capitalized Patents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 Inventory Reserve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251,677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(22,896)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and Other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(19,486)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(465,837)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491,083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11,635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Reduction of Lease Liability</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(6,849,022)</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(5,648,088)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Capitalization of Patents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Fixed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(139,881)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of Intangibles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(22,670)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(1,235,000)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1,708,000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254,916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(1,889,114)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January 2024 Offering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1,898,296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January 2025 Offering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804,346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February 2025 Offering</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908,627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July 2025 Offering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4,281,300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Withheld for Net Share Settlement of Performance Bonuses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proceeds from ATM Offering</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458,614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1,729,810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Private Placement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3,414,502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6,437,691</w:t>
            </w: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7,053,571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(149,288)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Equivalents—Beginning of Period</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1,659,353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4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Cash and Cash Equivalents—End of Period</w:t>
            </w:r>
          </w:p>
        </w:tc>
        <w:tc>
          <w:tcPr>
            <w:tcW w:w="16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1,510,065</w:t>
            </w: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1,659,353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4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8,772</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paid During the Year for Income Taxes</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INVESTING/FINANCING ACTIVITIES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Series A Preferred Stock into Common Stock</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Share-Based Payments to Vendors</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 Issued to Underwriters</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Patent Costs included in Accounts Payable</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24,292</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 included in Accounts Payable</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4,330</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ATM Offering Costs included in Accounts Payable</w:t>
            </w:r>
          </w:p>
        </w:tc>
        <w:tc>
          <w:tcPr>
            <w:tcW w:w="4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53,500</w:t>
            </w:r>
          </w:p>
        </w:tc>
        <w:tc>
          <w:tcPr>
            <w:tcW w:w="3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Shares Issued for Annual Performance Bonuses</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121,544</w:t>
            </w:r>
          </w:p>
        </w:tc>
        <w:tc>
          <w:tcPr>
            <w:tcW w:w="3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ind w:left="380" w:right="660"/>
        <w:spacing w:after="0" w:line="487" w:lineRule="auto"/>
        <w:rPr>
          <w:sz w:val="20"/>
          <w:szCs w:val="20"/>
          <w:color w:val="auto"/>
        </w:rPr>
      </w:pPr>
      <w:r>
        <w:rPr>
          <w:rFonts w:ascii="Times New Roman" w:cs="Times New Roman" w:eastAsia="Times New Roman" w:hAnsi="Times New Roman"/>
          <w:sz w:val="18"/>
          <w:szCs w:val="18"/>
          <w:i w:val="1"/>
          <w:iCs w:val="1"/>
          <w:color w:val="auto"/>
        </w:rPr>
        <w:t xml:space="preserve">See accompanying notes to these consolidated financial statements which are an integral part of these consolidated financial statements. </w:t>
      </w: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ectPr>
          <w:pgSz w:w="11900" w:h="16838" w:orient="portrait"/>
          <w:cols w:equalWidth="0" w:num="1">
            <w:col w:w="11240"/>
          </w:cols>
          <w:pgMar w:left="320" w:top="337" w:right="339" w:bottom="0" w:gutter="0" w:footer="0" w:header="0"/>
        </w:sectPr>
      </w:pPr>
    </w:p>
    <w:bookmarkStart w:id="40" w:name="page41"/>
    <w:bookmarkEnd w:id="40"/>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NATURE OF OPERATIONS</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60 Degrees Pharmaceuticals, Inc. was incorporated in Delaware on June 1, 2022 and merged on the same day with 60 Degrees Pharmaceuticals, LLC, a District of Columbia limited liability company organized on September 9, 2010 (“60P LLC”). 60 Degrees Pharmaceuticals, Inc. and its subsidiary (referred to collectively as the “Company”, “60P”, or “60 Degrees Pharmaceuticals”) is a specialty pharmaceutical company that specializes in the development and marketing of new medicines for the treatment and prevention of infectious diseases. 60P achieved FDA approval of its lead product, ARAKODA® (tafenoquine), for malaria prevention, in 2018. Currently, 60P’s pipeline under development covers development programs for vector-borne diseases utilizing three of the Company’s future products: (i) new products that contain the Arakoda regimen of tafenoquine; (ii) new products that contain tafenoquine; and (iii) celgosivir and/or botanical extracts from Australian Chestnut Trees. The Company’s headquarters are located in Washington, D.C., with a majority-owned subsidiary in Australia.</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the Company’s initial public offering in July 2023, its common stock has been listed and trades on The Nasdaq Capital Market under the symbol “SXTP,” and tradeable warrants under the symbol “SXTPW.”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and Uncertainties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biopharmaceutical industry including, but not limited to, the risks associated with developing product candidates and successfully launching and commercializing its drug/device combination products, the Company’s ability to obtain regulatory approval of its such products in the United States and other geography markets, the uncertainty of the broad adoption of its approved products by physicians and consumers, and significant competition.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higher rates of inflation have resulted in the U.S. Federal Reserve raising interest rates. Increases in interest rates, especially if coupled with reduced government spending and volatility in financial markets, may further increase economic uncertainty and heighten these risks. Furthermore, if additional banks and financial institutions enter receivership or become insolvent in the future in response to financial conditions affecting the banking system and financial markets, the Company or its partners’ ability to access existing cash, cash equivalents and investments may be threatened and could have a material adverse effect on the Company’s business and financial condition, including the Company’s ability to access additional capital on favorable terms, or at all, which could in the future negatively affect the Company’s ability to pursue its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Going Concern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future results are subject to substantial risks and uncertainties. Since its inception, the Company has not demonstrated the ability to generate enough revenues to date to cover operating expenses and has accumulated losses to date. At December 31, 2025, the Company had cash and cash equivalents totaling $1,510,065, as compared to cash and cash equivalents totaling $1,659,353 at December 31, 2024. During the year ended December 31, 2025, the Company used cash of $6,849,022 in its operating activities ($5,648,088 during the year ended December 31, 2024). The Company’s capital commitments over the next twelve months include interest and principal payments on the Company’s debt arrangement of $8,772, $1,459,279 to satisfy accounts payable and accrued expenses, and $18,775 payable under its short-term lease arrangement. In addition, the Company is subject to certain royalty obligations based on future net product sales (See Note 11).</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date, the Company has funded its operations primarily with proceeds from sales of common stock and warrants for the purchase of common stock, sales of preferred stock, proceeds from the issuance of convertible debt and borrowings under loan and security agreements.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Continuation as a going concern is dependent upon the Company’s ability to meet its financial requirements, raise additional capital, and achieve gross profitability from the Company’s single marketed product. To achieve profitability, the Company expects it will need to raise additional capital to fund its activities relating to commercial support for its existing product and any future clinical research trials and operating activities. However, there can be no assurance that it will ever achieve or maintain profitability. These conditions, among others, raise substantial doubt about the ability of the Company to continue as a going concern for one year from the date these financial statements are issued.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 plans to fund operations of the Company through third party and related party debt/advances, private placement of restricted securities and the issuance of stock in a subsequent offering until such a time as the business achieves profitability or a business combination may be achieved. However, there can be no assurance that the Company will be successful in raising additional capital or that such capital, if available, will be on terms that are favorable to the Company. Debt financing and equity financing, if available, may involve agreements that include covenants limiting or restricting the Company’s ability to take specific actions, such as incurring additional debt, making capital expenditures or declaring dividends. If the Company raises funds through collaborations, or other similar arrangements with third parties, it may have to relinquish valuable rights to its technologies, future revenue streams, research programs or product candidates or grant licenses on terms that may not be favorable to the Company and/or may reduce the value of its common stock. If the Company is unable to raise additional funds through equity or debt financings when needed, it may be required to delay, limit, reduce or terminate its product development or future commercialization efforts or grant rights to develop and market its product candidates even if the Company would otherwise prefer to develop and market such product candidates itself.</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such, management concluded that such plans do not alleviate the substantial doubt about the ability of the Company to continue as a going concern for one year from the date these financial statements are issued.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financial statements have been prepared on a going concern basis, which contemplates the realization of assets and the satisfaction of obligations in the normal course of business, and do not include any adjustments to the amount and classification of assets and liabilities that may be necessary should the Company be unable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6360" w:firstLine="8"/>
        <w:spacing w:after="0" w:line="503" w:lineRule="auto"/>
        <w:tabs>
          <w:tab w:leader="none" w:pos="18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b w:val="1"/>
          <w:bCs w:val="1"/>
          <w:u w:val="single" w:color="auto"/>
          <w:color w:val="auto"/>
        </w:rPr>
        <w:t>Basis of Presentation</w:t>
      </w:r>
    </w:p>
    <w:p>
      <w:pPr>
        <w:spacing w:after="0" w:line="282" w:lineRule="auto"/>
        <w:rPr>
          <w:sz w:val="20"/>
          <w:szCs w:val="20"/>
          <w:color w:val="auto"/>
        </w:rPr>
      </w:pPr>
      <w:r>
        <w:rPr>
          <w:rFonts w:ascii="Times New Roman" w:cs="Times New Roman" w:eastAsia="Times New Roman" w:hAnsi="Times New Roman"/>
          <w:sz w:val="18"/>
          <w:szCs w:val="18"/>
          <w:color w:val="auto"/>
        </w:rPr>
        <w:t>The financial statements of 60P and its subsidiary are prepared in accordance with accounting principles generally accepted in the United States of America (“U.S. GAAP”). The Company has prepared the accompanying consolidated financial statements pursuant to the instructions to Form 10-K and Article 8 of</w:t>
      </w:r>
    </w:p>
    <w:p>
      <w:pPr>
        <w:sectPr>
          <w:pgSz w:w="11900" w:h="16846" w:orient="portrait"/>
          <w:cols w:equalWidth="0" w:num="1">
            <w:col w:w="11240"/>
          </w:cols>
          <w:pgMar w:left="320" w:top="117" w:right="339" w:bottom="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Regulation S-X of the Securities and Exchange Commission (“SEC”). In the opinion of management, all adjustments considered necessary for a fair presentation of the Company’s financial position, results of operations and cash flows have been included and are of a normal and recurring nature.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 and Noncontrolling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include the financial statements of its 96.61% owned subsidiary, 60P Australia Pty Ltd. All significant intercompany accounts and transactions have been eliminated in consolidation.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entities that are consolidated, but not 100% owned, a portion of the income or loss and corresponding equity is allocated to owners other than the Company. The aggregate of the income or loss and corresponding equity that is not owned by us is included in Noncontrolling Interest in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those estimates may be material. Significant estimates include the reserve for inventory, the fair value of derivative liabilities, and stock-based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Reverse Stock Splits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stockholder approval in July 2024, the Company effected a reverse stock split at a ratio of 1:12 (the “1:12 Reverse Stock Split”), which was effective as of August 12, 2024. Following stockholder approval in November 2024, the Company effected an additional reverse stock split at a ratio of 1:5 (the “1:5 Reverse Stock Split), which was effective as of February 24, 2025. Following stockholder approval in October 2025, the Company effected an additional reverse stock split at a ratio of 1:4 (the “1:4 Reverse Stock Split” and together with the 1:12 Reverse Stock Split and the 1:5 Reverse Stock Split, the “Reverse Stock Splits”), which was effective January 20, 2026 (See Note 12 – Subsequent Events).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Proportional adjustments were made to the number of shares of common stock issuable upon exercise or conversion of the Company’s equity awards, warrants, and other equity instruments convertible into common stock, as well as the respective exercise prices, if applicable, in accordance with the terms of the instruments. Unless otherwise noted, all references to numbers of shares of the Company’s common stock and per share information presented in these consolidated financial statements have been retroactively adjusted, as appropriate, to reflect the Reverse Stock Splits, including reclassifying an amount equal to the reduction in par value of common stock to additional paid-in capital.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and Cash Equivalents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cash consists of cash deposited in demand accounts at financial institutions, which are insured by the Federal Deposit Insurance Corporation (“FDIC”). The Company considers short-term highly liquid investments with original maturities of three months or less to be cash equivalents. The Company’s cash and cash equivalents, at times, may exceed the FDIC insurable limits (currently $250,000). The Company has not experienced any losses related to amounts in excess of FDIC Limits. The Company periodically assesses the credit risk associated with these financial institutions and believes that the risk of loss is minimal.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Short-Term Investments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Short-term investments consist of certificates of deposit with original maturities of greater than three months and less than twelve months, which are classified as held-to-maturity as the Company has the intent and ability to hold these investments until they mature. The classification of short-term investments is determined at the time of purchase and is reevaluated at each balance sheet date. Short-term investments are reported at amortized cost.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Accounts Receivable and Allowance for Doubtful Accounts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records accounts receivable at net realizable value. This value includes an appropriate allowance for estimated uncollectible accounts to reflect any loss anticipated on the trade accounts receivable balances and charged to the provision for doubtful accounts. Based on the Company’s history there has been no need to make a recording to Allowance for Doubtful Accounts. Most of the Company’s revenue has been earned via government contracts, an Australian pharmaceutical distributor and a large American pharmaceutical distributor. There was no allowance as of December 31, 2025 and December 31, 2024. As the Company continues to engage with smaller distributors, it will continue to analyze whether an allowance should be established. As of December 31, 2025, the U.S. pharmaceutical distributor accounted for 97% of the accounts receivable balance (95%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comprised of direct materials and, where applicable, costs that have been incurred in bringing the inventories to their present location and condition. The Company uses the Specific Identification method per lot. A box or a bottle price is calculated per lot number and sales are recognized by their lot number.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regularly monitors its inventory levels to identify inventory that may expire or has a cost basis in excess of its estimated realizable value, and records write-downs for inventory that has expired, inventory that has a cost basis in excess of its expected net realizable value, and inventory in excess of expected sales requirements. Any write-downs of inventories are charged to Cost of Revenues in the Consolidated Statements of Operations and Comprehensive Loss. During the year ended December 31, 2025, write-downs for expired inventory totaled $445,181 ($22,046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Normal repairs and maintenance costs are charged to earnings as incurred and additions and major improvements are capitalized. The cost of assets retired or otherwise disposed of and the related depreciation are eliminated from the accounts in the period of disposal and the resulting gain or loss is credited or charged to earnings.</w:t>
      </w:r>
    </w:p>
    <w:p>
      <w:pPr>
        <w:sectPr>
          <w:pgSz w:w="11900" w:h="16838" w:orient="portrait"/>
          <w:cols w:equalWidth="0" w:num="1">
            <w:col w:w="11240"/>
          </w:cols>
          <w:pgMar w:left="320" w:top="121" w:right="339" w:bottom="0" w:gutter="0" w:footer="0" w:header="0"/>
        </w:sectPr>
      </w:pPr>
    </w:p>
    <w:bookmarkStart w:id="42" w:name="page43"/>
    <w:bookmarkEnd w:id="4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is computed over the estimated useful lives of the related asset type or term of the operating lease using the straight-line method for financial statement purposes. The estimated service lives for Property and Equipment are either three (3), five (5) or seven (7)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Impairment of Long-lived Assets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identifiable intangibles with finite useful lives, are periodically evaluated for impairment whenever events or changes in circumstances indicate that the carrying amount of an asset may not be recoverable. The Company monitors for potential indicators of a trigger event for asset impairment, including whether there is an adverse change in the extent or manner in which an asset is being used or its physical condition. Assets are grouped and evaluated for impairment at the lowest level of which there are identifiable cash flows, which is generally at a location level. Assets are reviewed using factors including, but not limited to, future operating plans and projected cash flows. The determination of whether impairment has occurred is based on an estimate of undiscounted future cash flows directly related to the assets, compared to the carrying value of the assets. If the sum of the undiscounted future cash flows of the assets does not exceed the carrying value of the assets, full or partial impairment may exist. If the asset’s carrying amount exceeds its fair value, an impairment charge is recognized in the amount by which the carrying amount exceeds the fair value of the asset. Fair value is determined using an income approach, which requires discounting the estimated future cash flows associated with the asset.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Intangible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capitalizes its patent and filing fees and legal patent and prosecution fees in connection with internally developed pending patents. When pending patents are issued, patents will be amortized over the expected period to be benefitted, not to exceed the patent lives, which may be as long as ten to fifteen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Website Development Costs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website development costs in accordance with the Financial Accounting Standards Board (“FASB”) Accounting Standards Codification (“ASC”) Subtopic No. 350-50, </w:t>
      </w:r>
      <w:r>
        <w:rPr>
          <w:rFonts w:ascii="Times New Roman" w:cs="Times New Roman" w:eastAsia="Times New Roman" w:hAnsi="Times New Roman"/>
          <w:sz w:val="18"/>
          <w:szCs w:val="18"/>
          <w:i w:val="1"/>
          <w:iCs w:val="1"/>
          <w:color w:val="auto"/>
        </w:rPr>
        <w:t>Website Development Costs</w:t>
      </w:r>
      <w:r>
        <w:rPr>
          <w:rFonts w:ascii="Times New Roman" w:cs="Times New Roman" w:eastAsia="Times New Roman" w:hAnsi="Times New Roman"/>
          <w:sz w:val="18"/>
          <w:szCs w:val="18"/>
          <w:color w:val="auto"/>
        </w:rPr>
        <w:t>. Accordingly, all costs incurred in the planning stage are expensed as incurred, costs incurred in the website application and infrastructure development stage that meet specific criteria are capitalized and costs incurred in the day-to-day operation of the website are expensed as incurred. All costs associated with the websites are subject to straight-line amortization over a three-year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classification of its derivative financial instruments each reporting period, which formerly consisted of bridge shares, convertible notes payable, and certain warrants, and determined that such instruments initially qualified for treatment as derivative liabilities as they met the criteria for liability classification under ASC 815. As of December 31, 2025, the Company’s derivative financial instruments consist of contingent payment arrangements.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analyzes all financial instruments with features of both liabilities and equity under FASB ASC Topic No. 480, </w:t>
      </w:r>
      <w:r>
        <w:rPr>
          <w:rFonts w:ascii="Times New Roman" w:cs="Times New Roman" w:eastAsia="Times New Roman" w:hAnsi="Times New Roman"/>
          <w:sz w:val="18"/>
          <w:szCs w:val="18"/>
          <w:i w:val="1"/>
          <w:iCs w:val="1"/>
          <w:color w:val="auto"/>
        </w:rPr>
        <w:t>Distinguishing Liabilities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Equity </w:t>
      </w:r>
      <w:r>
        <w:rPr>
          <w:rFonts w:ascii="Times New Roman" w:cs="Times New Roman" w:eastAsia="Times New Roman" w:hAnsi="Times New Roman"/>
          <w:sz w:val="18"/>
          <w:szCs w:val="18"/>
          <w:color w:val="auto"/>
        </w:rPr>
        <w:t>(“ASC 480”), and FASB ASC Topic No. 815,</w:t>
      </w:r>
      <w:r>
        <w:rPr>
          <w:rFonts w:ascii="Times New Roman" w:cs="Times New Roman" w:eastAsia="Times New Roman" w:hAnsi="Times New Roman"/>
          <w:sz w:val="18"/>
          <w:szCs w:val="18"/>
          <w:i w:val="1"/>
          <w:iCs w:val="1"/>
          <w:color w:val="auto"/>
        </w:rPr>
        <w:t xml:space="preserve"> Derivatives and Hedging </w:t>
      </w:r>
      <w:r>
        <w:rPr>
          <w:rFonts w:ascii="Times New Roman" w:cs="Times New Roman" w:eastAsia="Times New Roman" w:hAnsi="Times New Roman"/>
          <w:sz w:val="18"/>
          <w:szCs w:val="18"/>
          <w:color w:val="auto"/>
        </w:rPr>
        <w:t>(“ASC 815”). Derivative liabilities are adjusted to reflect fair value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reporting period, with any increase or decrease in the fair value recorded in the results of operations, as a component of other income or expense as change in fair value of derivative liabilities. The Company uses a probability-weighted expected return method to determine the fair value of these instruments.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conversion or repayment of a debt or equity instrument in exchange for equity shares, where the embedded conversion option has been bifurcated and accounted for as a derivative liability (generally convertible debt and warrants), the Company records the equity shares at fair value on the date of conversion, relieves all related debt, derivative liabilities, and unamortized debt discounts, and recognizes a net gain or loss on debt extinguishment, if 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or liability instruments that become subject to reclassification under ASC Topic 815 are reclassified at the fair value of the instrument on the reclassification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Equity-Classified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December 31, 2025, the Company accounts for all outstanding warrants to purchase common stock as equity-classified instruments based on an assessment of the warrants’ specific terms and applicable authoritative guidance in ASC 480 and ASC 815. This assessment considers whether the warrants are freestanding financial instruments pursuant to ASC 480, meet the definition of a liability pursuant to ASC 480, whether the warrants meet all of the requirements for equity classification under ASC 815, including whether the warrants are indexed to the Company’s own common stock and whether the warrant holders could potentially require “net cash settlement” in a circumstance outside of the Company’s control, among other conditions for equity classification. This assessment, which requires the use of professional judgment, is conducted at the respective issuance dates and as of each subsequent reporting period while the warrants are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60 Degrees Pharmaceuticals, Inc. is a corporation for U.S. Federal and state income tax purposes. The tax years that remain subject to examination by major tax jurisdictions include the years ended December 31, 2022, 2023, 2024 and 2025. 60P Australia Pty Ltd. is subject to taxation by the Australian Taxation Office.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assesses, on a jurisdictional basis, the available means of recovering deferred tax assets, including the ability to carry-back net operating losses, the existence of reversing temporary differences, the availability of tax planning strategies and available sources of future taxable income. On the basis of this evaluation, the Company has determined that it is not more likely than not that the Company will recognize the benefits of its net deferred tax assets, and, as a result, a full valuation allowance has been recorded against its net deferred tax assets as of December 31, 2025 and December 31, 2024.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w:t>
      </w:r>
    </w:p>
    <w:p>
      <w:pPr>
        <w:sectPr>
          <w:pgSz w:w="11900" w:h="16838" w:orient="portrait"/>
          <w:cols w:equalWidth="0" w:num="1">
            <w:col w:w="11240"/>
          </w:cols>
          <w:pgMar w:left="320" w:top="337" w:right="339" w:bottom="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Company adjusts these reserves in light of changes in facts and circumstances, such as the outcome of tax examinations. As of December 31, 2025 and December 31, 2024, no reserves for uncertain tax positions have been established.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unrecognized tax benefits as income tax expense. During the years ended December 31, 2025 and 2024, the Company did not recognize interest and penalties related to unrecognized tax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Concentrations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short-term investments, accounts receivable, inventory purchases, and borrowings.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Significant customers represent any customer whose business makes up 10% of receivables or revenues. At December 31, 2025, significant customers represented 97% of receivables (consisting of three customers and one significant customer) and 92% of total net product revenues (consisting of three customers and one significant customer). At December 31, 2024, significant customers represented 95% of receivables (consisting of three customers and one significant customer) and 95% of total net product revenues (consisting of three customers and one significant customer).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the Company has exclusive relationships with distributors in Australia and Europe. A failure to perform by any of our current distributors would create disruption for patients in those markets.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Company first started working on tafenoquine all inventory has been acquired in a collaborative relationship from a sole vendor. Should the vendor cease to supply tafenoquine it would take significant costs and efforts to rebuild the supply chain with a new sole vendor sourcing the active pharmaceutical ingredient (“API”).</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inception, the Company operates and manages its business as a single identifiable segment, focused on the development and marketing of new medicines for the treatment and prevention of infectious diseases. The determination of a single business segment is consistent with the consolidated financial information regularly provided to the Company’s chief operating decision maker (“CODM”).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who reviews and evaluates consolidated net income or loss for purposes of evaluating performance, making operating decisions, allocating resources, and planning and forecasting for future periods. The significant components of consolidated net income or loss regularly provided to the CODM include net product revenues and the significant expense categories presented in the accompanying Consolidated Statements of Operations and Comprehensive Loss (cost of revenues, research and development, and general and administrative expenses). These are presented at the consolidated level and used by the CODM to monitor budgeted versus actual results to make key operating decisions. The information and operating expense categories presented in the accompanying Consolidated Statements of Operations and Comprehensive Loss are fully reflective of the significant expense categories and amounts that are regularly provided to the CODM.</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that is regularly reported to the CODM includes cash and cash equivalents and short-term investments, each as reported on the Consolidated Balance Sheets. Total consolidated cash and cash equivalents and short-term investments were $2,750,786 and $3,387,825 as of December 31,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FASB ASC Topic No.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Revenues are recognized when control is transferred to customers in amounts that reflect the consideration the Company expects to be entitled to receive in exchange for those goods.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 As part of the accounting for these arrangements, the Company may be required to make significant judgments, including identifying performance obligations in the contract, estimating the amount of variable consideration to include in the transaction price and allocating the transaction price to each performance obligation.</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Revenues from product sales are recorded at the net sales price, or “transaction price,” which may include estimates of variable consideration that result from product returns. The Company determines the amount of variable consideration by using either the expected value method or the most-likely-amount method. The Company includes the unconstrained amount of estimated variable consideration in the transaction price, which reflects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Reserves are established for the estimates of variable consideration based on the amounts the Company expects to be earned or to be claimed on the related sales.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receives the majority of its revenues from sales of its Arakoda™ product to resellers in the US and abroad. The Company records US commercial revenues as a receivable when our American distributor transfers shipped product to their title model for 60P. Foreign sales to both Australia and Europe are recognized as a receivable at the point product is shipped to distributor. Historically, the shipments to Australia and Europe were further subject to profit sharing agreements for boxes sold to customers.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revenue from product sales, beginning in the third quarter of 2024, the Company recognizes research revenues associated with its contract with the United States Army Medical Materiel Development Activity (USAMMDA) for Arakoda supply chain upgrade support. Research revenue under this contract is recognized when the direct costs eligible for reimbursement are incurred, up to the maximum allowable amount. Other research revenues consist of sales of clinical trial supplies, which are recognized at a point in time, and research rebates earned from the Australian Tax Authority, which are recognized over time as qualifying research activities in Australia are performed.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Research and Development Costs</w:t>
      </w:r>
    </w:p>
    <w:p>
      <w:pPr>
        <w:sectPr>
          <w:pgSz w:w="11900" w:h="16838" w:orient="portrait"/>
          <w:cols w:equalWidth="0" w:num="1">
            <w:col w:w="11240"/>
          </w:cols>
          <w:pgMar w:left="320" w:top="121" w:right="339" w:bottom="154" w:gutter="0" w:footer="0" w:header="0"/>
        </w:sectPr>
      </w:pPr>
    </w:p>
    <w:bookmarkStart w:id="44" w:name="page45"/>
    <w:bookmarkEnd w:id="44"/>
    <w:p>
      <w:pPr>
        <w:spacing w:after="0" w:line="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research and development costs in accordance with FASB ASC Subtopic No. 730-10,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xml:space="preserve"> (“ASC 730-10”). Under ASC 730-10, research and development costs are expensed as incurred. Accordingly, internal research and development costs are expensed as incurred. Prepayments for research and development services are deferred and amortized over the service period as the services are provided. Advance payments for specific materials, equipment, or facilities determined to have no alternative future use are initially deferred and recognized as research and development expense when the related goods are delivered.</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recorded $2,106,156 in research and development costs during the year ended December 31, 2025 ($4,986,526 for the year ended December 31, 2024). The Company has also issued shares of common stock to nonemployees in exchange for research and development services. The Company recognizes prepaid research and development costs on the grant date, as defined in FASB ASC Subtopic No.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See Note 10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of Financial Instruments and the Fair Value Option (“FVO”)</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inputs used to measure fair value are based on a hierarchy that prioritizes observable and unobservable inputs used in valuation techniques. These levels, in order of highest to lowest priority, are described below:</w:t>
      </w:r>
    </w:p>
    <w:p>
      <w:pPr>
        <w:sectPr>
          <w:pgSz w:w="11900" w:h="16927" w:orient="portrait"/>
          <w:cols w:equalWidth="0" w:num="1">
            <w:col w:w="11240"/>
          </w:cols>
          <w:pgMar w:left="320" w:top="119" w:right="339" w:bottom="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prices (unadjusted) in active markets that are accessible at the measurement date for identical assets or liabilities.</w:t>
      </w:r>
    </w:p>
    <w:p>
      <w:pPr>
        <w:spacing w:after="0" w:line="211" w:lineRule="exact"/>
        <w:rPr>
          <w:sz w:val="20"/>
          <w:szCs w:val="20"/>
          <w:color w:val="auto"/>
        </w:rPr>
      </w:pPr>
    </w:p>
    <w:p>
      <w:pPr>
        <w:sectPr>
          <w:pgSz w:w="11900" w:h="16927" w:orient="portrait"/>
          <w:cols w:equalWidth="0" w:num="3">
            <w:col w:w="560" w:space="220"/>
            <w:col w:w="60" w:space="220"/>
            <w:col w:w="10180"/>
          </w:cols>
          <w:pgMar w:left="320" w:top="119"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Observable prices that are based on inputs not quoted on active markets but corroborated by market data.</w:t>
      </w:r>
    </w:p>
    <w:p>
      <w:pPr>
        <w:spacing w:after="0" w:line="211" w:lineRule="exact"/>
        <w:rPr>
          <w:sz w:val="20"/>
          <w:szCs w:val="20"/>
          <w:color w:val="auto"/>
        </w:rPr>
      </w:pPr>
    </w:p>
    <w:p>
      <w:pPr>
        <w:sectPr>
          <w:pgSz w:w="11900" w:h="16927" w:orient="portrait"/>
          <w:cols w:equalWidth="0" w:num="3">
            <w:col w:w="560" w:space="220"/>
            <w:col w:w="60" w:space="220"/>
            <w:col w:w="10180"/>
          </w:cols>
          <w:pgMar w:left="320" w:top="119"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Unobservable inputs reflecting the Company’s assumptions, consistent with reasonably available assumptions made by other market participants. These valuations require significant judgment.</w:t>
      </w:r>
    </w:p>
    <w:p>
      <w:pPr>
        <w:spacing w:after="0" w:line="162" w:lineRule="exact"/>
        <w:rPr>
          <w:sz w:val="20"/>
          <w:szCs w:val="20"/>
          <w:color w:val="auto"/>
        </w:rPr>
      </w:pPr>
    </w:p>
    <w:p>
      <w:pPr>
        <w:sectPr>
          <w:pgSz w:w="11900" w:h="16927" w:orient="portrait"/>
          <w:cols w:equalWidth="0" w:num="3">
            <w:col w:w="560" w:space="220"/>
            <w:col w:w="60" w:space="220"/>
            <w:col w:w="10180"/>
          </w:cols>
          <w:pgMar w:left="320" w:top="119" w:right="339" w:bottom="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149225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927" w:orient="portrait"/>
          <w:cols w:equalWidth="0" w:num="1">
            <w:col w:w="11240"/>
          </w:cols>
          <w:pgMar w:left="320" w:top="119" w:right="339" w:bottom="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choose to elect the FVO for certain eligible financial instruments, such as certain Promissory Notes, in order to simplify the accounting treatment. Items for which the FVO has been elected are presented at fair value in the Consolidated Balance Sheets and any change in fair value unrelated to credit risk is recorded in Other Expense, net in the Consolidated Statements of Operations and Comprehensive Loss. Changes in fair value related to credit risk are recognized in Other Comprehensive Loss. As a result of the completion of the IPO, all financial instruments for which the FVO was elected were extinguished. See Note 7 for more information on the extinguishment of the Promissory Notes.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recorded at fair value on a recurring basis at December 31, 2025, and December 31, 2024 include the derivative liability associated with the contingent milestone payment due to Knight upon a future sale of Arakoda™ or a Change of Control, which is carried at fair value based on Level 3 inputs. The Company uses a probability-weighted expected return method to determine the fair value of the contingent milestone payment using significant inputs such as the timing and probability of discrete potential exit scenarios, forward interest rate curves, and discount rates based on implied and market yields. See Note 8 for more information on Derivative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measured at fair value at December 31, 2025 and 2024 are as follows:</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9"/>
        </w:trPr>
        <w:tc>
          <w:tcPr>
            <w:tcW w:w="63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63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16"/>
        </w:trPr>
        <w:tc>
          <w:tcPr>
            <w:tcW w:w="63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94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CCECFF"/>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374,741</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374,741</w:t>
            </w:r>
          </w:p>
        </w:tc>
        <w:tc>
          <w:tcPr>
            <w:tcW w:w="20" w:type="dxa"/>
            <w:vAlign w:val="bottom"/>
          </w:tcPr>
          <w:p>
            <w:pPr>
              <w:spacing w:after="0"/>
              <w:rPr>
                <w:sz w:val="19"/>
                <w:szCs w:val="19"/>
                <w:color w:val="auto"/>
              </w:rPr>
            </w:pPr>
          </w:p>
        </w:tc>
      </w:tr>
      <w:tr>
        <w:trPr>
          <w:trHeight w:val="248"/>
        </w:trPr>
        <w:tc>
          <w:tcPr>
            <w:tcW w:w="632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top w:val="single" w:sz="8" w:color="auto"/>
              <w:bottom w:val="single" w:sz="8" w:color="auto"/>
            </w:tcBorders>
            <w:shd w:val="clear" w:color="auto" w:fill="CCEC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940" w:type="dxa"/>
            <w:vAlign w:val="bottom"/>
            <w:tcBorders>
              <w:top w:val="single" w:sz="8" w:color="auto"/>
              <w:bottom w:val="single" w:sz="8" w:color="auto"/>
            </w:tcBorders>
            <w:shd w:val="clear" w:color="auto" w:fill="CCECFF"/>
          </w:tcPr>
          <w:p>
            <w:pPr>
              <w:jc w:val="right"/>
              <w:ind w:right="7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374,741</w:t>
            </w: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374,741</w:t>
            </w:r>
          </w:p>
        </w:tc>
        <w:tc>
          <w:tcPr>
            <w:tcW w:w="20" w:type="dxa"/>
            <w:vAlign w:val="bottom"/>
          </w:tcPr>
          <w:p>
            <w:pPr>
              <w:spacing w:after="0"/>
              <w:rPr>
                <w:sz w:val="21"/>
                <w:szCs w:val="21"/>
                <w:color w:val="auto"/>
              </w:rPr>
            </w:pPr>
          </w:p>
        </w:tc>
      </w:tr>
      <w:tr>
        <w:trPr>
          <w:trHeight w:val="20"/>
        </w:trPr>
        <w:tc>
          <w:tcPr>
            <w:tcW w:w="632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bottom w:val="single" w:sz="8" w:color="auto"/>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9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bottom w:val="single" w:sz="8" w:color="auto"/>
            </w:tcBorders>
          </w:tcPr>
          <w:p>
            <w:pPr>
              <w:spacing w:after="0" w:line="20" w:lineRule="exact"/>
              <w:rPr>
                <w:sz w:val="1"/>
                <w:szCs w:val="1"/>
                <w:color w:val="auto"/>
              </w:rPr>
            </w:pPr>
          </w:p>
        </w:tc>
        <w:tc>
          <w:tcPr>
            <w:tcW w:w="880" w:type="dxa"/>
            <w:vAlign w:val="bottom"/>
            <w:tcBorders>
              <w:top w:val="single" w:sz="8" w:color="CCEC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9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r>
      <w:tr>
        <w:trPr>
          <w:trHeight w:val="216"/>
        </w:trPr>
        <w:tc>
          <w:tcPr>
            <w:tcW w:w="398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4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CCECFF"/>
            </w:tcBorders>
            <w:shd w:val="clear" w:color="auto" w:fill="CCECFF"/>
          </w:tcPr>
          <w:p>
            <w:pPr>
              <w:spacing w:after="0"/>
              <w:rPr>
                <w:sz w:val="18"/>
                <w:szCs w:val="18"/>
                <w:color w:val="auto"/>
              </w:rPr>
            </w:pPr>
          </w:p>
        </w:tc>
        <w:tc>
          <w:tcPr>
            <w:tcW w:w="940" w:type="dxa"/>
            <w:vAlign w:val="bottom"/>
            <w:tcBorders>
              <w:top w:val="single" w:sz="8" w:color="auto"/>
            </w:tcBorders>
            <w:shd w:val="clear" w:color="auto" w:fill="CCECFF"/>
          </w:tcPr>
          <w:p>
            <w:pPr>
              <w:spacing w:after="0"/>
              <w:rPr>
                <w:sz w:val="18"/>
                <w:szCs w:val="18"/>
                <w:color w:val="auto"/>
              </w:rPr>
            </w:pPr>
          </w:p>
        </w:tc>
        <w:tc>
          <w:tcPr>
            <w:tcW w:w="160" w:type="dxa"/>
            <w:vAlign w:val="bottom"/>
            <w:tcBorders>
              <w:top w:val="single" w:sz="8" w:color="auto"/>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180" w:type="dxa"/>
            <w:vAlign w:val="bottom"/>
            <w:tcBorders>
              <w:top w:val="single" w:sz="8" w:color="auto"/>
            </w:tcBorders>
            <w:shd w:val="clear" w:color="auto" w:fill="CCECFF"/>
          </w:tcPr>
          <w:p>
            <w:pPr>
              <w:spacing w:after="0"/>
              <w:rPr>
                <w:sz w:val="18"/>
                <w:szCs w:val="18"/>
                <w:color w:val="auto"/>
              </w:rPr>
            </w:pPr>
          </w:p>
        </w:tc>
        <w:tc>
          <w:tcPr>
            <w:tcW w:w="920" w:type="dxa"/>
            <w:vAlign w:val="bottom"/>
            <w:tcBorders>
              <w:top w:val="single" w:sz="8" w:color="auto"/>
            </w:tcBorders>
            <w:shd w:val="clear" w:color="auto" w:fill="CCECFF"/>
          </w:tcPr>
          <w:p>
            <w:pPr>
              <w:spacing w:after="0"/>
              <w:rPr>
                <w:sz w:val="18"/>
                <w:szCs w:val="18"/>
                <w:color w:val="auto"/>
              </w:rPr>
            </w:pPr>
          </w:p>
        </w:tc>
        <w:tc>
          <w:tcPr>
            <w:tcW w:w="120" w:type="dxa"/>
            <w:vAlign w:val="bottom"/>
            <w:tcBorders>
              <w:top w:val="single" w:sz="8" w:color="CCECFF"/>
            </w:tcBorders>
            <w:shd w:val="clear" w:color="auto" w:fill="CCECFF"/>
          </w:tcPr>
          <w:p>
            <w:pPr>
              <w:spacing w:after="0"/>
              <w:rPr>
                <w:sz w:val="18"/>
                <w:szCs w:val="18"/>
                <w:color w:val="auto"/>
              </w:rPr>
            </w:pPr>
          </w:p>
        </w:tc>
        <w:tc>
          <w:tcPr>
            <w:tcW w:w="220" w:type="dxa"/>
            <w:vAlign w:val="bottom"/>
            <w:tcBorders>
              <w:top w:val="single" w:sz="8" w:color="auto"/>
            </w:tcBorders>
            <w:shd w:val="clear" w:color="auto" w:fill="CCECFF"/>
          </w:tcPr>
          <w:p>
            <w:pPr>
              <w:spacing w:after="0"/>
              <w:rPr>
                <w:sz w:val="18"/>
                <w:szCs w:val="18"/>
                <w:color w:val="auto"/>
              </w:rPr>
            </w:pPr>
          </w:p>
        </w:tc>
        <w:tc>
          <w:tcPr>
            <w:tcW w:w="880" w:type="dxa"/>
            <w:vAlign w:val="bottom"/>
            <w:tcBorders>
              <w:top w:val="single" w:sz="8" w:color="auto"/>
            </w:tcBorders>
            <w:shd w:val="clear" w:color="auto" w:fill="CCEC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338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640,830</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20" w:type="dxa"/>
            <w:vAlign w:val="bottom"/>
          </w:tcPr>
          <w:p>
            <w:pPr>
              <w:spacing w:after="0"/>
              <w:rPr>
                <w:sz w:val="19"/>
                <w:szCs w:val="19"/>
                <w:color w:val="auto"/>
              </w:rPr>
            </w:pPr>
          </w:p>
        </w:tc>
      </w:tr>
      <w:tr>
        <w:trPr>
          <w:trHeight w:val="248"/>
        </w:trPr>
        <w:tc>
          <w:tcPr>
            <w:tcW w:w="3980" w:type="dxa"/>
            <w:vAlign w:val="bottom"/>
            <w:tcBorders>
              <w:top w:val="single" w:sz="8" w:color="CCECFF"/>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Borders>
              <w:top w:val="single" w:sz="8" w:color="CCECFF"/>
              <w:bottom w:val="single" w:sz="8" w:color="CCECFF"/>
            </w:tcBorders>
            <w:shd w:val="clear" w:color="auto" w:fill="CCECFF"/>
          </w:tcPr>
          <w:p>
            <w:pPr>
              <w:spacing w:after="0"/>
              <w:rPr>
                <w:sz w:val="21"/>
                <w:szCs w:val="21"/>
                <w:color w:val="auto"/>
              </w:rPr>
            </w:pPr>
          </w:p>
        </w:tc>
        <w:tc>
          <w:tcPr>
            <w:tcW w:w="940" w:type="dxa"/>
            <w:vAlign w:val="bottom"/>
            <w:tcBorders>
              <w:top w:val="single" w:sz="8" w:color="auto"/>
              <w:bottom w:val="single" w:sz="8" w:color="auto"/>
            </w:tcBorders>
            <w:shd w:val="clear" w:color="auto" w:fill="CCEC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CFF"/>
              <w:bottom w:val="single" w:sz="8" w:color="CCECFF"/>
            </w:tcBorders>
            <w:shd w:val="clear" w:color="auto" w:fill="CCECFF"/>
          </w:tcPr>
          <w:p>
            <w:pPr>
              <w:spacing w:after="0"/>
              <w:rPr>
                <w:sz w:val="21"/>
                <w:szCs w:val="21"/>
                <w:color w:val="auto"/>
              </w:rPr>
            </w:pPr>
          </w:p>
        </w:tc>
        <w:tc>
          <w:tcPr>
            <w:tcW w:w="940" w:type="dxa"/>
            <w:vAlign w:val="bottom"/>
            <w:tcBorders>
              <w:top w:val="single" w:sz="8" w:color="auto"/>
              <w:bottom w:val="single" w:sz="8" w:color="auto"/>
            </w:tcBorders>
            <w:shd w:val="clear" w:color="auto" w:fill="CCEC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CFF"/>
          </w:tcPr>
          <w:p>
            <w:pPr>
              <w:ind w:left="120"/>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180" w:type="dxa"/>
            <w:vAlign w:val="bottom"/>
            <w:tcBorders>
              <w:top w:val="single" w:sz="8" w:color="auto"/>
              <w:bottom w:val="single" w:sz="8" w:color="auto"/>
            </w:tcBorders>
            <w:shd w:val="clear" w:color="auto" w:fill="CCEC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120" w:type="dxa"/>
            <w:vAlign w:val="bottom"/>
            <w:tcBorders>
              <w:top w:val="single" w:sz="8" w:color="CCECFF"/>
              <w:bottom w:val="single" w:sz="8" w:color="CCECFF"/>
            </w:tcBorders>
            <w:shd w:val="clear" w:color="auto" w:fill="CCECFF"/>
          </w:tcPr>
          <w:p>
            <w:pPr>
              <w:spacing w:after="0"/>
              <w:rPr>
                <w:sz w:val="21"/>
                <w:szCs w:val="21"/>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640,830</w:t>
            </w:r>
          </w:p>
        </w:tc>
        <w:tc>
          <w:tcPr>
            <w:tcW w:w="20" w:type="dxa"/>
            <w:vAlign w:val="bottom"/>
          </w:tcPr>
          <w:p>
            <w:pPr>
              <w:spacing w:after="0"/>
              <w:rPr>
                <w:sz w:val="21"/>
                <w:szCs w:val="21"/>
                <w:color w:val="auto"/>
              </w:rPr>
            </w:pPr>
          </w:p>
        </w:tc>
      </w:tr>
      <w:tr>
        <w:trPr>
          <w:trHeight w:val="20"/>
        </w:trPr>
        <w:tc>
          <w:tcPr>
            <w:tcW w:w="3980" w:type="dxa"/>
            <w:vAlign w:val="bottom"/>
            <w:tcBorders>
              <w:top w:val="single" w:sz="8" w:color="CCECFF"/>
            </w:tcBorders>
          </w:tcPr>
          <w:p>
            <w:pPr>
              <w:spacing w:after="0" w:line="20" w:lineRule="exact"/>
              <w:rPr>
                <w:sz w:val="1"/>
                <w:szCs w:val="1"/>
                <w:color w:val="auto"/>
              </w:rPr>
            </w:pPr>
          </w:p>
        </w:tc>
        <w:tc>
          <w:tcPr>
            <w:tcW w:w="244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bottom w:val="single" w:sz="8" w:color="auto"/>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bottom w:val="single" w:sz="8" w:color="auto"/>
            </w:tcBorders>
          </w:tcPr>
          <w:p>
            <w:pPr>
              <w:spacing w:after="0" w:line="20" w:lineRule="exact"/>
              <w:rPr>
                <w:sz w:val="1"/>
                <w:szCs w:val="1"/>
                <w:color w:val="auto"/>
              </w:rPr>
            </w:pPr>
          </w:p>
        </w:tc>
        <w:tc>
          <w:tcPr>
            <w:tcW w:w="16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CCECFF"/>
              <w:bottom w:val="single" w:sz="8" w:color="auto"/>
            </w:tcBorders>
          </w:tcPr>
          <w:p>
            <w:pPr>
              <w:spacing w:after="0" w:line="20" w:lineRule="exact"/>
              <w:rPr>
                <w:sz w:val="1"/>
                <w:szCs w:val="1"/>
                <w:color w:val="auto"/>
              </w:rPr>
            </w:pPr>
          </w:p>
        </w:tc>
        <w:tc>
          <w:tcPr>
            <w:tcW w:w="920" w:type="dxa"/>
            <w:vAlign w:val="bottom"/>
            <w:tcBorders>
              <w:top w:val="single" w:sz="8" w:color="CCECFF"/>
              <w:bottom w:val="single" w:sz="8" w:color="auto"/>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bottom w:val="single" w:sz="8" w:color="auto"/>
            </w:tcBorders>
          </w:tcPr>
          <w:p>
            <w:pPr>
              <w:spacing w:after="0" w:line="20" w:lineRule="exact"/>
              <w:rPr>
                <w:sz w:val="1"/>
                <w:szCs w:val="1"/>
                <w:color w:val="auto"/>
              </w:rPr>
            </w:pPr>
          </w:p>
        </w:tc>
        <w:tc>
          <w:tcPr>
            <w:tcW w:w="880" w:type="dxa"/>
            <w:vAlign w:val="bottom"/>
            <w:tcBorders>
              <w:top w:val="single" w:sz="8" w:color="CCEC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transfers of financial instruments between Level 1, Level 2, and Level 3 during the periods presented. A rollforward of liabilities measured at fair value using Level 3 inputs outstanding during the years ended December 31, 2025 and 2024 is presented in Note 8 (Derivative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Assets and Liabilities Not Measured at Fair Value on a Recurring Basis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assets and liabilities that are measured at fair value on a recurring basis, the Company also measures certain assets and liabilities at fair value on a non-recurring basis. The Company’s non-financial assets, including Intangible Assets and Property and Equipment, are measured at fair value when there is an indication of impairment and the carrying amount exceeds the asset’s projected undiscounted cash flows. These assets are recorded at fair value only when an impairment charge is recognized.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carrying value of the Company’s financial instruments included in current assets and current liabilities (such as cash, accounts receivable, accounts payable, and accrued expenses) approximate their fair value due to the short-term nature of such instruments. Certificates of deposit, classified as cash equivalents or short-term investments depending on the instrument’s original time to maturity, are measured at amortized cost, which approximates fair value as of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Transactions and Translation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individual financial statements of each group entity are measured and presented in the currency of the primary economic environment in which the entity operates (its functional currency). The consolidated financial statements of the Company are presented in US dollars, which is the functional currency of the Company and the presentation currency for the consolidated financial statements.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purpose of presenting consolidated financial statements, the assets and liabilities of the Company’s foreign operations are mostly translated at exchange rates prevailing on the reporting date. Income and expense items are translated at the average exchange rates for the period, unless exchange rates</w:t>
      </w:r>
    </w:p>
    <w:p>
      <w:pPr>
        <w:sectPr>
          <w:pgSz w:w="11900" w:h="16927" w:orient="portrait"/>
          <w:cols w:equalWidth="0" w:num="1">
            <w:col w:w="11240"/>
          </w:cols>
          <w:pgMar w:left="320" w:top="119" w:right="339" w:bottom="0" w:gutter="0" w:footer="0" w:header="0"/>
          <w:type w:val="continuous"/>
        </w:sectPr>
      </w:pPr>
    </w:p>
    <w:bookmarkStart w:id="45" w:name="page46"/>
    <w:bookmarkEnd w:id="45"/>
    <w:p>
      <w:pPr>
        <w:jc w:val="both"/>
        <w:spacing w:after="0" w:line="282" w:lineRule="auto"/>
        <w:rPr>
          <w:sz w:val="20"/>
          <w:szCs w:val="20"/>
          <w:color w:val="auto"/>
        </w:rPr>
      </w:pPr>
      <w:r>
        <w:rPr>
          <w:rFonts w:ascii="Times New Roman" w:cs="Times New Roman" w:eastAsia="Times New Roman" w:hAnsi="Times New Roman"/>
          <w:sz w:val="18"/>
          <w:szCs w:val="18"/>
          <w:color w:val="auto"/>
        </w:rPr>
        <w:t>fluctuate significantly during that period, in which case the exchange rates at the dates of the transactions are used. Exchange differences arising, if any, are recognized as a component of other comprehensive income (loss) as Unrealized Foreign Currency Translation Gain or Loss.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rates along with historical rates used in these financial statements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Average Exchange Rate</w:t>
            </w:r>
          </w:p>
        </w:tc>
        <w:tc>
          <w:tcPr>
            <w:tcW w:w="10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3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78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5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4"/>
        </w:trPr>
        <w:tc>
          <w:tcPr>
            <w:tcW w:w="31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Borders>
              <w:top w:val="single" w:sz="8" w:color="auto"/>
            </w:tcBorders>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10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December</w:t>
            </w:r>
          </w:p>
        </w:tc>
        <w:tc>
          <w:tcPr>
            <w:tcW w:w="20" w:type="dxa"/>
            <w:vAlign w:val="bottom"/>
          </w:tcPr>
          <w:p>
            <w:pPr>
              <w:spacing w:after="0"/>
              <w:rPr>
                <w:sz w:val="16"/>
                <w:szCs w:val="16"/>
                <w:color w:val="auto"/>
              </w:rPr>
            </w:pPr>
          </w:p>
        </w:tc>
      </w:tr>
      <w:tr>
        <w:trPr>
          <w:trHeight w:val="245"/>
        </w:trPr>
        <w:tc>
          <w:tcPr>
            <w:tcW w:w="3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3960" w:type="dxa"/>
            <w:vAlign w:val="bottom"/>
            <w:gridSpan w:val="2"/>
          </w:tcPr>
          <w:p>
            <w:pPr>
              <w:ind w:left="31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1"/>
                <w:szCs w:val="21"/>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12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20" w:type="dxa"/>
            <w:vAlign w:val="bottom"/>
          </w:tcPr>
          <w:p>
            <w:pPr>
              <w:spacing w:after="0"/>
              <w:rPr>
                <w:sz w:val="21"/>
                <w:szCs w:val="21"/>
                <w:color w:val="auto"/>
              </w:rPr>
            </w:pPr>
          </w:p>
        </w:tc>
      </w:tr>
      <w:tr>
        <w:trPr>
          <w:trHeight w:val="216"/>
        </w:trPr>
        <w:tc>
          <w:tcPr>
            <w:tcW w:w="3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 AUD =</w:t>
            </w:r>
          </w:p>
        </w:tc>
        <w:tc>
          <w:tcPr>
            <w:tcW w:w="27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0.64  USD</w:t>
            </w:r>
          </w:p>
        </w:tc>
        <w:tc>
          <w:tcPr>
            <w:tcW w:w="1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0.66  USD</w:t>
            </w:r>
          </w:p>
        </w:tc>
        <w:tc>
          <w:tcPr>
            <w:tcW w:w="160" w:type="dxa"/>
            <w:vAlign w:val="bottom"/>
            <w:tcBorders>
              <w:top w:val="single" w:sz="8" w:color="CCECFF"/>
            </w:tcBorders>
            <w:shd w:val="clear" w:color="auto" w:fill="CCECFF"/>
          </w:tcPr>
          <w:p>
            <w:pPr>
              <w:spacing w:after="0"/>
              <w:rPr>
                <w:sz w:val="18"/>
                <w:szCs w:val="18"/>
                <w:color w:val="auto"/>
              </w:rPr>
            </w:pPr>
          </w:p>
        </w:tc>
        <w:tc>
          <w:tcPr>
            <w:tcW w:w="122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0.67  USD</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0.62  USD</w:t>
            </w:r>
          </w:p>
        </w:tc>
        <w:tc>
          <w:tcPr>
            <w:tcW w:w="20" w:type="dxa"/>
            <w:vAlign w:val="bottom"/>
          </w:tcPr>
          <w:p>
            <w:pPr>
              <w:spacing w:after="0"/>
              <w:rPr>
                <w:sz w:val="18"/>
                <w:szCs w:val="18"/>
                <w:color w:val="auto"/>
              </w:rPr>
            </w:pPr>
          </w:p>
        </w:tc>
      </w:tr>
      <w:tr>
        <w:trPr>
          <w:trHeight w:val="432"/>
        </w:trPr>
        <w:tc>
          <w:tcPr>
            <w:tcW w:w="3100" w:type="dxa"/>
            <w:vAlign w:val="bottom"/>
          </w:tcPr>
          <w:p>
            <w:pPr>
              <w:spacing w:after="0"/>
              <w:rPr>
                <w:sz w:val="24"/>
                <w:szCs w:val="24"/>
                <w:color w:val="auto"/>
              </w:rPr>
            </w:pPr>
          </w:p>
        </w:tc>
        <w:tc>
          <w:tcPr>
            <w:tcW w:w="4140" w:type="dxa"/>
            <w:vAlign w:val="bottom"/>
            <w:gridSpan w:val="3"/>
          </w:tcPr>
          <w:p>
            <w:pPr>
              <w:ind w:left="2360"/>
              <w:spacing w:after="0"/>
              <w:rPr>
                <w:sz w:val="20"/>
                <w:szCs w:val="20"/>
                <w:color w:val="auto"/>
              </w:rPr>
            </w:pPr>
            <w:r>
              <w:rPr>
                <w:rFonts w:ascii="Times New Roman" w:cs="Times New Roman" w:eastAsia="Times New Roman" w:hAnsi="Times New Roman"/>
                <w:sz w:val="18"/>
                <w:szCs w:val="18"/>
                <w:color w:val="auto"/>
              </w:rPr>
              <w:t>F-13</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prior period amounts have been reclassified for consistency with the current period presentation. These reclassifications had no material effect on the consolidated results of operations and comprehensive loss, shareholders’ equity,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Payments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22, 2022, the Company adopted the 2022 Equity Incentive Plan also referred to as (“2022 Plan”). The 2022 Plan and related share-based awards are discussed more fully in Note 10.</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accounts for share-based payments in accordance with ASC Subtopic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(“ASC 718”). The Company measures compensation for all share-based payment awards granted to employees, directors, and nonemployees, based on the estimated fair value of the awards on the date of grant. For awards that vest based on continued service, the service-based compensation cost is recognized on a straight-line basis over the requisite service period, which is generally the vesting period of the awards. For service vesting awards with compensation expense recognized on a straight-line basis, at no point in time does the cumulative grant date value of vested awards exceed the cumulative amount of compensation expense recognized. The grant date is determined based on the date when a mutual understanding of the key terms of the share-based awards is established. The Company accounts for forfeitures as they occur.</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 xml:space="preserve">The Company estimates the fair value of all stock option awards as of the grant date by applying the Black-Scholes option pricing model. The application of this valuation model involves assumptions, including the fair value of the common stock, expected volatility, risk-free interest rate, expected dividends and the expected term of the option. Due to the lack of a public market for the Company’s common stock prior to the IPO and lack of company-specific historical implied volatility data, the Company has based its computations of expected volatility on the historical volatility of a representative group of public companies with similar characteristics of the Company, including stage of development and industry focus. The historical volatility is calculated based on a period of time commensurate with the expected term assumption. The Company generally uses the simplified method as prescribed by the SEC Staff Accounting Bulletin Topic 14, </w:t>
      </w:r>
      <w:r>
        <w:rPr>
          <w:rFonts w:ascii="Times New Roman" w:cs="Times New Roman" w:eastAsia="Times New Roman" w:hAnsi="Times New Roman"/>
          <w:sz w:val="17"/>
          <w:szCs w:val="17"/>
          <w:i w:val="1"/>
          <w:iCs w:val="1"/>
          <w:color w:val="auto"/>
        </w:rPr>
        <w:t>Share-Based Payment</w:t>
      </w:r>
      <w:r>
        <w:rPr>
          <w:rFonts w:ascii="Times New Roman" w:cs="Times New Roman" w:eastAsia="Times New Roman" w:hAnsi="Times New Roman"/>
          <w:sz w:val="17"/>
          <w:szCs w:val="17"/>
          <w:color w:val="auto"/>
        </w:rPr>
        <w:t>, to estimate the expected term for stock options, whereby, the expected term equals the midpoint of the weighted average remaining time to vest, vesting period and the contractual term of the options due to its lack of historical exercise data. For certain options granted out-of-the-money, the Company’s best estimate of the expected term is the contractual term of the award.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assumptions used in calculating the fair value of share-based awards represent management’s best estimates and involve inherent uncertainties and the application of significant judgment.</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restricted stock units (“RSUs”) with only service-based vesting conditions is recognized on a straight-line basis over the vesting period. Compensation cost for service-based RSUs is based on the grant date fair value of the award, which is the closing market price of the Company’s common stock on the grant date multiplied by the number of shares awarded.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awards that vest upon a liquidity event or a change in control, the performance condition is not probable of being achieved until the event occurs. As a result, no compensation expense is recognized until the performance-based vesting condition is achieved, at which time the cumulative compensation expense is recognized. Compensation cost related to any remaining time-based service for share-based awards after the liquidity-based event is recognized on a straight-line basis over the remaining service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fully vested, nonforfeitable equity instruments that are granted at the date the Company and a nonemployee enter into an agreement for goods or services, the Company recognizes the fair value of the equity instruments on the grant date. The corresponding cost is recognized as an immediate expense or a prepaid asset and expensed over the service period depending on the specific facts and circumstances of the agreement with the nonemployee. See Note 10 for further details.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Loss per Common Share is computed by dividing net loss attributable to common shareholders by the weighted average number of common shares outstanding during each period. The Company has included the Pre-Funded Warrants issued in January 2024 and September 2024 (See Note 6) in its computation of basic and diluted net loss per share due to their nominal exercise prices. The cumulative dividends accrued on the Series A Preferred Stock during the period are reflected as an addition to net loss in determining basic and diluted net loss attributable to common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Company has reported a net loss for all periods presented, the calculation of diluted net loss per common share is the same as basic net loss per common share for those periods.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Reverse Stock Splits, which were effective as of August 12, 2024 at a ratio of 1:12, February 24, 2025 at a ratio of 1:5, and January 20, 2026 at a ratio of 1:4, all shares of outstanding common stock and net loss per common share calculations have been retroactively adjusted for all periods presented.</w:t>
      </w:r>
    </w:p>
    <w:p>
      <w:pPr>
        <w:sectPr>
          <w:pgSz w:w="11900" w:h="16838" w:orient="portrait"/>
          <w:cols w:equalWidth="0" w:num="1">
            <w:col w:w="11240"/>
          </w:cols>
          <w:pgMar w:left="320" w:top="121" w:right="339" w:bottom="0" w:gutter="0" w:footer="0" w:header="0"/>
        </w:sectPr>
      </w:pPr>
    </w:p>
    <w:bookmarkStart w:id="46" w:name="page47"/>
    <w:bookmarkEnd w:id="46"/>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Related Parties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Parties are considered to be related to the Company if the parties, directly or indirectly, through one or more intermediaries, control, are controlled by, or are under common control with the Company. Related parties also include principal owners of the Company, its management, members of the immediate families of principal owners of the Company and its management and other parties with which the Company may deal with if one party controls or can significantly influence the management or operating policies of the other to an extent that one of the transacting parties might be prevented from fully pursuing its own separate interests.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through March 30, 2026, which is the date the financial statements were issued. See Note 12.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and Issued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FASB issues Accounting Standards Updates (“ASU”) to amend the authoritative literature in the ASC. The Company regularly evaluates new ASUs to determine the impact that these pronouncements may have on the consolidated financial statements. Other than the pronouncements listed below, the Company believes that those issued to date either (i) provide supplemental guidance, (ii) are technical corrections, or (iii) are not applicable to the Company’s consolidated financial statements or related disclosures.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which expands annual and interim disclosure requirements for reportable segments, primarily through enhanced disclosures about significant segment expenses and segment profit or loss. ASU 2023-07 also requires entities with a single reportable segment to provide all segment disclosures under ASC 280, including the new required disclosures under the ASU. The Company adopted ASU 2023-07 on a retrospective basis for the 2024 annual period, and for interim periods beginning in 2025. The impact is limited to the Company’s financial statement disclosures, which are presented in the Segment Information section above.</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(ASC 740): Improvements to Income Tax Disclosures</w:t>
      </w:r>
      <w:r>
        <w:rPr>
          <w:rFonts w:ascii="Times New Roman" w:cs="Times New Roman" w:eastAsia="Times New Roman" w:hAnsi="Times New Roman"/>
          <w:sz w:val="18"/>
          <w:szCs w:val="18"/>
          <w:color w:val="auto"/>
        </w:rPr>
        <w:t xml:space="preserve"> (“ASU 2023-09”) which requires disaggregated information about a reporting entity’s effective tax rate reconciliation as well as information on income taxes paid. ASU 2023-09 was effective for the Company’s annual period ending December 15, 2025. The impact of the adoption is limited to the Company’s financial statement disclosures, which are presented on a prospective basis. See Note 9 – Income Taxes.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applies to all public business entities that file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with the SEC. The amendments in this ASU require public business entities to disclose on an annual and interim basis, disaggregated information about certain income statement expense line items. The new standard is effective for fiscal years beginning after December 15, 2026, with early adoption permitted. The Company is currently evaluating the impact that ASU 2024-03 will have on its financial statement disclosures.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to the Accounting for Internal-Use Software </w:t>
      </w:r>
      <w:r>
        <w:rPr>
          <w:rFonts w:ascii="Times New Roman" w:cs="Times New Roman" w:eastAsia="Times New Roman" w:hAnsi="Times New Roman"/>
          <w:sz w:val="18"/>
          <w:szCs w:val="18"/>
          <w:color w:val="auto"/>
        </w:rPr>
        <w:t>(“ASU 2025-06”), which amends certain aspects of the accounting for and disclosure of software costs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ASC 350-40. The amendments modernize the recognition and disclosure framework for internal-use software costs, removing the previous “development stage” model and introducing a more judgment-based approach. The ASU is effective for all entities for interim and annual periods beginning after December 15, 2027, with early adoption permitted. The Company is currently evaluating the impact that ASU 2025-06 will have on its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2025-07, </w:t>
      </w:r>
      <w:r>
        <w:rPr>
          <w:rFonts w:ascii="Times New Roman" w:cs="Times New Roman" w:eastAsia="Times New Roman" w:hAnsi="Times New Roman"/>
          <w:sz w:val="18"/>
          <w:szCs w:val="18"/>
          <w:i w:val="1"/>
          <w:iCs w:val="1"/>
          <w:color w:val="auto"/>
        </w:rPr>
        <w:t>Derivatives Scope Refinements and Scope Clarification for Share-Based Noncash Consideration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 Customer in a Revenue Contract </w:t>
      </w:r>
      <w:r>
        <w:rPr>
          <w:rFonts w:ascii="Times New Roman" w:cs="Times New Roman" w:eastAsia="Times New Roman" w:hAnsi="Times New Roman"/>
          <w:sz w:val="18"/>
          <w:szCs w:val="18"/>
          <w:color w:val="auto"/>
        </w:rPr>
        <w:t>(“ASU 2025-07”)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2025-07 adds a new scope exception from derivative accounting under ASC 815 for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non-exchange-traded contracts with customers with an underlying that is based on operations or activities specific to one of the parties to the contract. Further, ASU 2025-07 clarifies that an entity should apply the guidance in ASC 606 to a contract with stock-based noncash consideration. The ASU is effective for annual periods beginning after December 15, 2026 and interim periods within those annual periods, with early adoption permitted. The Company is currently evaluating the impact that ASU 2025-06 will have on its consolidated financial statements.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INVENTORY</w:t>
            </w: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Inventory consists of the following major classes: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6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45"/>
        </w:trPr>
        <w:tc>
          <w:tcPr>
            <w:tcW w:w="86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31, 2024</w:t>
            </w:r>
          </w:p>
        </w:tc>
        <w:tc>
          <w:tcPr>
            <w:tcW w:w="0" w:type="dxa"/>
            <w:vAlign w:val="bottom"/>
          </w:tcPr>
          <w:p>
            <w:pPr>
              <w:spacing w:after="0"/>
              <w:rPr>
                <w:sz w:val="1"/>
                <w:szCs w:val="1"/>
                <w:color w:val="auto"/>
              </w:rPr>
            </w:pPr>
          </w:p>
        </w:tc>
      </w:tr>
      <w:tr>
        <w:trPr>
          <w:trHeight w:val="216"/>
        </w:trPr>
        <w:tc>
          <w:tcPr>
            <w:tcW w:w="8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 (API)</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75,662</w:t>
            </w:r>
          </w:p>
        </w:tc>
        <w:tc>
          <w:tcPr>
            <w:tcW w:w="1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446,957</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284,883</w:t>
            </w:r>
          </w:p>
        </w:tc>
        <w:tc>
          <w:tcPr>
            <w:tcW w:w="0" w:type="dxa"/>
            <w:vAlign w:val="bottom"/>
          </w:tcPr>
          <w:p>
            <w:pPr>
              <w:spacing w:after="0"/>
              <w:rPr>
                <w:sz w:val="1"/>
                <w:szCs w:val="1"/>
                <w:color w:val="auto"/>
              </w:rPr>
            </w:pPr>
          </w:p>
        </w:tc>
      </w:tr>
      <w:tr>
        <w:trPr>
          <w:trHeight w:val="216"/>
        </w:trPr>
        <w:tc>
          <w:tcPr>
            <w:tcW w:w="8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4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385,982</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157,881</w:t>
            </w:r>
          </w:p>
        </w:tc>
        <w:tc>
          <w:tcPr>
            <w:tcW w:w="0" w:type="dxa"/>
            <w:vAlign w:val="bottom"/>
          </w:tcPr>
          <w:p>
            <w:pPr>
              <w:spacing w:after="0"/>
              <w:rPr>
                <w:sz w:val="1"/>
                <w:szCs w:val="1"/>
                <w:color w:val="auto"/>
              </w:rPr>
            </w:pPr>
          </w:p>
        </w:tc>
      </w:tr>
      <w:tr>
        <w:trPr>
          <w:trHeight w:val="27"/>
        </w:trPr>
        <w:tc>
          <w:tcPr>
            <w:tcW w:w="864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Inventory before Allowance</w:t>
            </w:r>
          </w:p>
        </w:tc>
        <w:tc>
          <w:tcPr>
            <w:tcW w:w="14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908,601</w:t>
            </w:r>
          </w:p>
        </w:tc>
        <w:tc>
          <w:tcPr>
            <w:tcW w:w="1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442,764</w:t>
            </w:r>
          </w:p>
        </w:tc>
        <w:tc>
          <w:tcPr>
            <w:tcW w:w="0" w:type="dxa"/>
            <w:vAlign w:val="bottom"/>
          </w:tcPr>
          <w:p>
            <w:pPr>
              <w:spacing w:after="0"/>
              <w:rPr>
                <w:sz w:val="1"/>
                <w:szCs w:val="1"/>
                <w:color w:val="auto"/>
              </w:rPr>
            </w:pPr>
          </w:p>
        </w:tc>
      </w:tr>
      <w:tr>
        <w:trPr>
          <w:trHeight w:val="277"/>
        </w:trPr>
        <w:tc>
          <w:tcPr>
            <w:tcW w:w="86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Expiring Inventory</w:t>
            </w:r>
          </w:p>
        </w:tc>
        <w:tc>
          <w:tcPr>
            <w:tcW w:w="140" w:type="dxa"/>
            <w:vAlign w:val="bottom"/>
            <w:shd w:val="clear" w:color="auto" w:fill="CCEEFF"/>
          </w:tcPr>
          <w:p>
            <w:pPr>
              <w:spacing w:after="0"/>
              <w:rPr>
                <w:sz w:val="24"/>
                <w:szCs w:val="24"/>
                <w:color w:val="auto"/>
              </w:rPr>
            </w:pPr>
          </w:p>
        </w:tc>
        <w:tc>
          <w:tcPr>
            <w:tcW w:w="12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(251,677)</w:t>
            </w: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Inventory</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656,924</w:t>
            </w: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442,764</w:t>
            </w:r>
          </w:p>
        </w:tc>
        <w:tc>
          <w:tcPr>
            <w:tcW w:w="0" w:type="dxa"/>
            <w:vAlign w:val="bottom"/>
          </w:tcPr>
          <w:p>
            <w:pPr>
              <w:spacing w:after="0"/>
              <w:rPr>
                <w:sz w:val="1"/>
                <w:szCs w:val="1"/>
                <w:color w:val="auto"/>
              </w:rPr>
            </w:pPr>
          </w:p>
        </w:tc>
      </w:tr>
      <w:tr>
        <w:trPr>
          <w:trHeight w:val="34"/>
        </w:trPr>
        <w:tc>
          <w:tcPr>
            <w:tcW w:w="8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7"/>
        </w:trPr>
        <w:tc>
          <w:tcPr>
            <w:tcW w:w="8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2024, Property and Equipment, net consists of:</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160" w:type="dxa"/>
            <w:vAlign w:val="bottom"/>
          </w:tcPr>
          <w:p>
            <w:pPr>
              <w:spacing w:after="0"/>
              <w:rPr>
                <w:sz w:val="24"/>
                <w:szCs w:val="24"/>
                <w:color w:val="auto"/>
              </w:rPr>
            </w:pPr>
          </w:p>
        </w:tc>
        <w:tc>
          <w:tcPr>
            <w:tcW w:w="10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December</w:t>
            </w:r>
          </w:p>
        </w:tc>
        <w:tc>
          <w:tcPr>
            <w:tcW w:w="0" w:type="dxa"/>
            <w:vAlign w:val="bottom"/>
          </w:tcPr>
          <w:p>
            <w:pPr>
              <w:spacing w:after="0"/>
              <w:rPr>
                <w:sz w:val="1"/>
                <w:szCs w:val="1"/>
                <w:color w:val="auto"/>
              </w:rPr>
            </w:pPr>
          </w:p>
        </w:tc>
      </w:tr>
      <w:tr>
        <w:trPr>
          <w:trHeight w:val="254"/>
        </w:trPr>
        <w:tc>
          <w:tcPr>
            <w:tcW w:w="86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0" w:type="dxa"/>
            <w:vAlign w:val="bottom"/>
          </w:tcPr>
          <w:p>
            <w:pPr>
              <w:spacing w:after="0"/>
              <w:rPr>
                <w:sz w:val="1"/>
                <w:szCs w:val="1"/>
                <w:color w:val="auto"/>
              </w:rPr>
            </w:pPr>
          </w:p>
        </w:tc>
      </w:tr>
    </w:tbl>
    <w:p>
      <w:pPr>
        <w:sectPr>
          <w:pgSz w:w="11900" w:h="16900" w:orient="portrait"/>
          <w:cols w:equalWidth="0" w:num="1">
            <w:col w:w="11240"/>
          </w:cols>
          <w:pgMar w:left="320" w:top="117" w:right="339" w:bottom="0" w:gutter="0" w:footer="0" w:header="0"/>
        </w:sectPr>
      </w:pPr>
    </w:p>
    <w:bookmarkStart w:id="47" w:name="page48"/>
    <w:bookmarkEnd w:id="47"/>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366,791</w:t>
            </w:r>
          </w:p>
        </w:tc>
        <w:tc>
          <w:tcPr>
            <w:tcW w:w="46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233,411</w:t>
            </w:r>
          </w:p>
        </w:tc>
      </w:tr>
      <w:tr>
        <w:trPr>
          <w:trHeight w:val="243"/>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Machinery</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55,800</w:t>
            </w:r>
          </w:p>
        </w:tc>
      </w:tr>
      <w:tr>
        <w:trPr>
          <w:trHeight w:val="230"/>
        </w:trPr>
        <w:tc>
          <w:tcPr>
            <w:tcW w:w="8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20" w:type="dxa"/>
            <w:vAlign w:val="bottom"/>
            <w:shd w:val="clear" w:color="auto" w:fill="CCEC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11,598</w:t>
            </w:r>
          </w:p>
        </w:tc>
        <w:tc>
          <w:tcPr>
            <w:tcW w:w="16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23"/>
        </w:trPr>
        <w:tc>
          <w:tcPr>
            <w:tcW w:w="86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Furniture</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r>
      <w:tr>
        <w:trPr>
          <w:trHeight w:val="216"/>
        </w:trPr>
        <w:tc>
          <w:tcPr>
            <w:tcW w:w="860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20" w:type="dxa"/>
            <w:vAlign w:val="bottom"/>
            <w:shd w:val="clear" w:color="auto" w:fill="CCECFF"/>
          </w:tcPr>
          <w:p>
            <w:pPr>
              <w:spacing w:after="0"/>
              <w:rPr>
                <w:sz w:val="18"/>
                <w:szCs w:val="18"/>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437,219</w:t>
            </w:r>
          </w:p>
        </w:tc>
        <w:tc>
          <w:tcPr>
            <w:tcW w:w="160" w:type="dxa"/>
            <w:vAlign w:val="bottom"/>
            <w:shd w:val="clear" w:color="auto" w:fill="CCECFF"/>
          </w:tcPr>
          <w:p>
            <w:pPr>
              <w:spacing w:after="0"/>
              <w:rPr>
                <w:sz w:val="18"/>
                <w:szCs w:val="18"/>
                <w:color w:val="auto"/>
              </w:rPr>
            </w:pPr>
          </w:p>
        </w:tc>
        <w:tc>
          <w:tcPr>
            <w:tcW w:w="300" w:type="dxa"/>
            <w:vAlign w:val="bottom"/>
            <w:shd w:val="clear" w:color="auto" w:fill="CCECFF"/>
          </w:tcPr>
          <w:p>
            <w:pPr>
              <w:spacing w:after="0"/>
              <w:rPr>
                <w:sz w:val="18"/>
                <w:szCs w:val="18"/>
                <w:color w:val="auto"/>
              </w:rPr>
            </w:pP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299,241</w:t>
            </w:r>
          </w:p>
        </w:tc>
      </w:tr>
      <w:tr>
        <w:trPr>
          <w:trHeight w:val="223"/>
        </w:trPr>
        <w:tc>
          <w:tcPr>
            <w:tcW w:w="860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(190,854)</w:t>
            </w:r>
          </w:p>
        </w:tc>
        <w:tc>
          <w:tcPr>
            <w:tcW w:w="160" w:type="dxa"/>
            <w:vAlign w:val="bottom"/>
            <w:tcBorders>
              <w:bottom w:val="single" w:sz="8" w:color="CCEC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(149,433)</w:t>
            </w:r>
          </w:p>
        </w:tc>
      </w:tr>
      <w:tr>
        <w:trPr>
          <w:trHeight w:val="250"/>
        </w:trPr>
        <w:tc>
          <w:tcPr>
            <w:tcW w:w="860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246,365</w:t>
            </w:r>
          </w:p>
        </w:tc>
        <w:tc>
          <w:tcPr>
            <w:tcW w:w="16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b w:val="1"/>
                <w:bCs w:val="1"/>
                <w:color w:val="auto"/>
              </w:rPr>
              <w:t>149,808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expenses for the years ended December 31, 2025 and 2024 were in the amount of $43,324 and $11,726, respectively.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INTANGIBLE ASSETS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and 2024, Intangible Assets, net consist of:</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10"/>
        </w:trPr>
        <w:tc>
          <w:tcPr>
            <w:tcW w:w="8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207,428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127,603</w:t>
            </w: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Website Development Costs</w:t>
            </w:r>
          </w:p>
        </w:tc>
        <w:tc>
          <w:tcPr>
            <w:tcW w:w="100" w:type="dxa"/>
            <w:vAlign w:val="bottom"/>
          </w:tcPr>
          <w:p>
            <w:pPr>
              <w:spacing w:after="0"/>
              <w:rPr>
                <w:sz w:val="20"/>
                <w:szCs w:val="20"/>
                <w:color w:val="auto"/>
              </w:rPr>
            </w:pP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131,622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104,622</w:t>
            </w:r>
          </w:p>
        </w:tc>
      </w:tr>
      <w:tr>
        <w:trPr>
          <w:trHeight w:val="229"/>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at cost</w:t>
            </w:r>
          </w:p>
        </w:tc>
        <w:tc>
          <w:tcPr>
            <w:tcW w:w="10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5"/>
              </w:rPr>
              <w:t>339,050</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232,225</w:t>
            </w: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20"/>
                <w:szCs w:val="20"/>
                <w:color w:val="auto"/>
              </w:rPr>
            </w:pPr>
          </w:p>
        </w:tc>
        <w:tc>
          <w:tcPr>
            <w:tcW w:w="12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(114,689)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(75,141)</w:t>
            </w:r>
          </w:p>
        </w:tc>
      </w:tr>
      <w:tr>
        <w:trPr>
          <w:trHeight w:val="223"/>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w w:val="95"/>
              </w:rPr>
              <w:t>224,361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157,084</w:t>
            </w:r>
          </w:p>
        </w:tc>
      </w:tr>
    </w:tbl>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capitalized website development-related costs of $27,000 and $25,374 respectively, in connection with the upgrade and enhancement of functionality of the corporate website at www.60degreespharma.com. Amortization expense for the years ended December 31, 2025, and 2024 was in the amount of $39,548 and $38,502, respectively. During the years ended December 31, 2025 and 2024, write-downs for expired or obsolete patents totaled $0 and $108,424,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estimated future amortization expense for our patents and website development costs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Website</w:t>
            </w:r>
          </w:p>
        </w:tc>
      </w:tr>
      <w:tr>
        <w:trPr>
          <w:trHeight w:val="216"/>
        </w:trPr>
        <w:tc>
          <w:tcPr>
            <w:tcW w:w="8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Development</w:t>
            </w:r>
          </w:p>
        </w:tc>
      </w:tr>
      <w:tr>
        <w:trPr>
          <w:trHeight w:val="245"/>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0" w:type="dxa"/>
            <w:vAlign w:val="bottom"/>
          </w:tcPr>
          <w:p>
            <w:pPr>
              <w:spacing w:after="0"/>
              <w:rPr>
                <w:sz w:val="21"/>
                <w:szCs w:val="21"/>
                <w:color w:val="auto"/>
              </w:rPr>
            </w:pPr>
          </w:p>
        </w:tc>
        <w:tc>
          <w:tcPr>
            <w:tcW w:w="11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Patents</w:t>
            </w:r>
          </w:p>
        </w:tc>
        <w:tc>
          <w:tcPr>
            <w:tcW w:w="100" w:type="dxa"/>
            <w:vAlign w:val="bottom"/>
          </w:tcPr>
          <w:p>
            <w:pPr>
              <w:spacing w:after="0"/>
              <w:rPr>
                <w:sz w:val="21"/>
                <w:szCs w:val="21"/>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Costs</w:t>
            </w:r>
          </w:p>
        </w:tc>
      </w:tr>
      <w:tr>
        <w:trPr>
          <w:trHeight w:val="216"/>
        </w:trPr>
        <w:tc>
          <w:tcPr>
            <w:tcW w:w="8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12,094</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7,985</w:t>
            </w:r>
          </w:p>
        </w:tc>
      </w:tr>
      <w:tr>
        <w:trPr>
          <w:trHeight w:val="216"/>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7,337</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31,468</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41,511</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The Company additionally has $114,697 in capitalized patent expenses that will become amortizable as the patents they are associated with are awarded.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STOCKHOLDERS’ EQUITY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Certificate of Incorporation of 60 Degrees Pharmaceuticals, Inc., the Company’s authorized shares consist of (a) 150,000,000 shares of common stock, par value $0.0001 per share and (b) 1,000,000 shares of preferred stock, par value $0.0001 per share, of which 80,965 have been designated as Series A Non-Voting Convertible Preferred Stock (“Series A Preferred Stock”). As of December 31, 2025, 1,163,142 shares of Common Stock and 76,480 shares of Series A Preferred Stock are issued and outstanding.</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stockholder approval in July 2024, on July 30, 2024, the Company filed an Amendment to the Certificate of Incorporation with the Secretary of State of Delaware to effect the 1:12 Reverse Stock Split of the issued and outstanding shares of the Company’s common stock, which was effective as of August 12, 2024. As of the effective time of the 1:12 Reverse Stock Split, every twelve (12) issued and outstanding shares of the Company’s common stock were automatically combined and converted into one (1) issued and outstanding share of the Company’s common stock, reducing the number of shares of common stock outstanding from 21,219,937 shares to 1,768,337 shares (not including the effects of the 1:5 Reverse Stock Split or the 1:4 Reverse Stock Split discussed below). No fractional shares of common stock were issued in connection with the Reverse Stock Split and all fractional shares were rounded up to the nearest whole share with respect to outstanding shares of common stock. The Company issued an additional 4,675 shares of common stock on August 19, 2024 for rounding due to fractional shares (93,563 not including the effects of the 1:5 Reverse Stock Split or the 1:4 Reverse Stock Split discussed below).</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stockholder approval in November 2024, on February 18, 2025, the Company filed an additional Amendment to the Certificate of Incorporation with the Secretary of State of Delaware to effect the 1:5 Reverse Stock Split of the issued and outstanding shares of the Company’s common stock, which was effective as of February 24, 2025. As of the effective time of the 1:5 Reverse Stock Split, every five (5) issued and outstanding shares of the Company’s common stock were automatically combined and converted into one (1) issued and outstanding share of the Company’s common stock, reducing the number of shares of common stock outstanding from 7,364,554 shares to 1,472,891 shares (not including the effects of the 1:4 Reverse Stock Split discussed below). No fractional shares of common stock were issued in connection with the 1:5 Reverse Stock Split. All fractional shares were rounded up to the nearest whole share with respect to outstanding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stockholder approval in October 2025, on January 14, 2026, the Company filed an additional Amendment to the Certificate of Incorporation with the Secretary of State of Delaware to effect the 1:4 Reverse Stock Split of the issued and outstanding shares of the Company’s common stock, which was effective as of January 20, 2026. As of the effective time of the 1:4 Reverse Stock Split, every four (4) issued and outstanding shares of the Company’s common stock were automatically combined and converted into one (1) issued and outstanding share of the Company’s common stock, reducing the</w:t>
      </w:r>
    </w:p>
    <w:p>
      <w:pPr>
        <w:sectPr>
          <w:pgSz w:w="11900" w:h="16936" w:orient="portrait"/>
          <w:cols w:equalWidth="0" w:num="1">
            <w:col w:w="11240"/>
          </w:cols>
          <w:pgMar w:left="320" w:top="140" w:right="339" w:bottom="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number of shares of common stock outstanding from 5,436,441 shares to 1,359,091 shares. No fractional shares of common stock were issued in connection with the 1:4 Reverse Stock Split. All fractional shares were rounded up to the nearest whole share with respect to outstanding shares of common stock. See Note 12 – Subsequent Events.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Reverse Stock Splits did not change the authorized number of shares of common stock or preferred stock, the par value of the common stock, or the number of issued and outstanding shares of Series A Preferred Stock. All references to numbers of shares of the Company’s common stock and per share information in these consolidated financial statements have been retroactively adjusted, as appropriate, to reflect the Reverse Stock Splits, including reclassifying an amount equal to the reduction in par value of common stock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2024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29, 2024, the Company, entered into an Underwriting Agreement with WallachBeth Capital LLC, relating to the Company’s public offering (the “January 2024 Offering”) of 21,921 units at an offering price of $92.40 per unit and 4,164 pre-funded units at an offering price of $90.00 per pre-funded unit. Each unit consisted of one share of common stock and one warrant exercisable for one share of common stock (the “January 2024 Warrants”). Each pre-funded unit consists of one pre-funded warrant exercisable for one share of common stock (the “January 2024 Pre-Funded Warrants”) and one warrant identical to the January 2024 Warrants included in the units. The January 2024 Pre-Funded Warrants have an exercise price of $2.40 per share, were immediately exercisable beginning on January 31, 2024 until exercised in full. The January 2024 Warrants have an exercise price of $101.64 per share and are exercisable beginning on January 31, 2024 until January 31, 2029.</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granted WallachBeth Capital LLC a 45-day over-allotment option to purchase up to 3,289 shares of the Company’s common stock at a price of $92.40 per share and/or 3,913 January 2024 Warrants at a price of $2.40 per warrant and/or 625 January 2024 Pre-Funded Warrants at a price of $90.00 per pre-funded warrant, or any combination thereof, in all cases less the underwriting discount. WallachBeth Capital LLC partially exercised its over-allotment option with respect to 3,410 January 2024 Warrants on January 31, 2024, and purchased an additional one share of common stock at a purchase price of $90.00 per share and one January 2024 Warrant at a purchase price of $2.40 per warrant on February 14,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issued to WallachBeth Capital LLC warrants (the “January 2024 Representative Warrants”) to purchase 1,565 shares of the Company’s common stock at an exercise price of $101.64 per share. The January 2024 Representative Warrants are exercisable beginning on January 31, 2024 until January 31, 2029.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units and pre-funded units were offered and sold pursuant to the Company’s Registration Statement on Form S-1 (File No. 333-276641), declared effective by the SEC on January 29, 2024. The closing of the January 2024 Offering occurred on January 31, 2024, generating net proceeds to the Company of approximately $1.9 million, after deducting underwriting discounts and commissions and the payment of other offering expenses payable by the Company of approximately $510,000.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ATM Agreement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12, 2024, the Company entered into an At-the-Market Issuance Sales Agreement (the “2024 ATM Agreement”) with WallachBeth Capital LLC as sales agent, to sell shares of common stock having an aggregate offering price of up to $1,253,603 from time to time, through an “at the market offering” program (the “2024 ATM Offering”). The offer and sale of shares of common stock from the ATM Offering were made pursuant to the Company’s shelf registration statement on Form S-3 and accompanying base prospectus (Registration Statement No. 333-280796) contained therein which became effective on July 18, 2024. The prospectus supplement was subsequently amended four times to increase the maximum aggregate offering price under the ATM Agreement. From July 19, 2024 to August 1, 2024, the Company sold a total of 33,897 shares in the ATM Offering for gross proceeds of $1,994,583. The Company and Wallachbeth Capital LLC entered into a Waiver and Termination Agreement, agreeing to terminate the 2024 ATM Agreement effective September 3,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January 2025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2025, the Company entered into a securities purchase agreement with certain institutional investors pursuant to which the Company sold, in a registered direct offering priced at-the-market under the rules of Nasdaq, an aggregate of 51,079 shares of common stock at a purchase price of $20.42 per share. The shares were offered pursuant to a “shelf” registration statement on Form S-3 (Registration No. 333-280796). In a concurrent private placement, the Company also issued to the investors unregistered warrants (the “January 2025 Warrants”) to purchase up to an aggregate of 102,158 shares of common stock at an exercise price of $15.42 per share. The January 2025 Warrants are exercisable upon issuance, or January 30, 2025, and expire twenty-four months from the date of issuance, or January 30, 2027. The registered direct offering and concurrent private placement (together, the “January 2025 Offering”) closed on January 30, 2025, resulting in net proceeds to the Company of approximately $804,346, after deducting the placement agent fees and other offering expenses paid by the Company.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January 2025 Offering, in addition to certain cash fees, the Company issued H.C. Wainwright &amp; Co., LLC (the “Placement Agent”) warrants to purchase up to 3,833 shares of common stock at an exercise price of $25.53 (the “January 2025 Agent Warrants”). The January 2025 Agent Warrants were exercisable upon issuance and expire twenty-four months from the date of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2025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5, 2025, the Company entered into a securities purchase agreement with certain institutional investors pursuant to which the Company sold, in a registered direct offering priced at-the-market under the rules of Nasdaq, an aggregate of 75,176 shares of the Company’s common stock at a purchase price of $14.30 per share. In a concurrent private placement, the Company separately issued to the investors unregistered warrants to purchase up to an aggregate of 75,176 shares of common stock at an exercise price of $11.80 per share (the “February 2025 Warrants”). The February 2025 Warrants were immediately exercisable upon issuance and expire twenty-four months from the date of issuance. The registered direct offering and concurrent private placement (together, the “February 2025 Offering”) closed on February 6, 2025, resulting in net proceeds to the Company of approximately $908,627, after deducting the placement agent fees and other offering expenses paid by the Company.</w:t>
      </w:r>
    </w:p>
    <w:p>
      <w:pPr>
        <w:sectPr>
          <w:pgSz w:w="11900" w:h="16838" w:orient="portrait"/>
          <w:cols w:equalWidth="0" w:num="1">
            <w:col w:w="11240"/>
          </w:cols>
          <w:pgMar w:left="320" w:top="121" w:right="339" w:bottom="114"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February 2025 Offering, in addition to certain cash fees, the Company issued the Placement Agent warrants to purchase up to 5,640 shares of common stock at an exercise price of $17.88 (the “February 2025 Agent Warrants”). The February 2025 Agent Warrants were exercisable upon issuance and expire twenty-four months from the date of issuance.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2025 Offering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2025, the Company entered into a securities purchase agreement with certain institutional investors pursuant to which the Company sold, in a registered direct offering (the “July 2025 Offering”), 438,332 units at an offering price of $7.60 per unit and 219,569 pre-funded units at an offering price of $7.596 per pre-funded unit. Each unit consisted of (i) one share of common stock, (ii) one series A-1 warrant exercisable for one share of common stock (the “July 2025 A-1 Warrants”), and (iii) one series A-2 warrant exercisable for one share of common stock (the “July 2025 A-2 Warrants” and together with the July 2025 A-1 Warrants, the “July 2025 Warrants”). Each pre-funded unit consists of one pre-funded warrant exercisable for one share of common stock (the “July 2025 Pre-Funded Warrants”) and warrants identical to the July 2025 Warrants included in the units. The July 2025 Pre-Funded Warrants have an exercise price of $0.004 per share, and were immediately exercisable beginning on July 16, 2025 until exercised in full. The July 2025 A-1 Warrants have an exercise price of $7.60 per share and are exercisable beginning on July 16, 2025 until July 15, 2030. The July 2025 A-2 Warrants have an exercise price of $7.60 per share and are exercisable beginning on July 16, 2025 until January 15, 2027.</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July 2025 Offering, the Company also issued to H.C. Wainwright &amp; Co., LLC warrants (the “July 2025 Placement Agent Warrants”) to purchase up to 49,342 shares of common stock. The July 2025 Placement Agent Warrants have an exercise price equal to $9.50 per share and are exercisable upon issuance, or July 16, 2025, and expire five years from the date of issuance, or July 15, 2030.</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July 2025 Offering was made pursuant to the Company’s registration statement on Form S-1 (File No. 333-288550), which was declared effective by the Securities and Exchange Commission (the “SEC”) on July 15, 2025, and the final prospectus, which was filed with the SEC on July 16, 2025. The Offering closed on July 16, 2025, resulting in net proceeds to the Company of approximately $4,281,300, after deducting placement agent fees and other offering expenses paid by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ATM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5, 2025, the Company entered into an At-The-Market Sales Agreement (the “2025 ATM Agreement”) with H.C. Wainwright &amp; Co., LLC (“Wainwright”) pursuant to which the Company may, from time to time, offer and sell shares of its common stock, having aggregate gross sales proceeds of up to $1,397,532 (the “2025 ATM Offering”). As compensation for acting as the sales agent for the 2025 ATM Offering, Wainwright will be entitled to a commission of 3.0% of the gross proceeds from sales of shares in the 2025 ATM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common stock under the 2025 ATM Agreement was issued and sold pursuant to the Company’s shelf registration statement on Form S-3 and accompanying base prospectus (Registration Statement No. 333-280796), which was declared effective by the SEC on July 18, 2024, and a prospectus supplement dated September 5, 2025 relating to the offer and sale of the shares pursuant to the 2025 ATM Agreement. As of December 31, 2025, 136,991 shares were issued under the 2025 ATM Agreement, resulting in net proceeds of $405,114, after deducting the placement agent fees and other offering expenses paid by the Company. See Note 12 – Subsequent Events.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Preferred Stock Conversions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converted an aggregate of 0 and 2,323 shares of Series A Preferred Stock, respectively, held by Knight Therapeutics Inc. into 0 and 3,667 shares of common stock,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Exercises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315,869 shares of common stock upon the exercise of 315,869 pre-funded warrants, resulting in aggregate cash proceeds to the Company of $2,804. During the year ended December 31, 2024, the Company issued 52,792 shares of common stock upon the exercise of 52,792 pre-funded warrants, resulting in aggregate cash proceeds to the Company of $10,963.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Events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 2024, the Company entered into an Amendment to the Debt Exchange Agreement with Trevally, LLC (“Trevally”), which amends the original agreement with Trevally (executed in January 2023). Pursuant to the Amendment, Trevally agreed to return 500 shares of the Company’s common stock, initially issued to Trevally in January 2023 as advance consideration for agreeing to complete the synthesis of research materials for the Company. Trevally returned the previously issued shares for no consideration on April 3, 2024. Trevally delivered the completed research materials to the Company on July 1,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Warrants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accounts for all issued and outstanding warrants to purchase common stock as equity-classified instruments based on the guidance in ASC 480 and ASC 815.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Private Placement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4, 2024, the Company entered into a Securities Purchase Agreement with an institutional investor, agreeing to issue and sell in a private placement offering (the “Private Placement”) (i) pre-funded warrants to purchase 144,928 shares of common stock (the “September 2024 Pre-Funded Warrants”), (ii) series A warrants to purchase 144,928 shares of common stock (the “Series A Warrants”), and (iii) series B warrants to purchase 144,928 shares of common stock (the “Series B Warrants) at a price of $27.60 per Pre-Funded Warrant and accompanying Series A and Series B Warrants. The Private Placement closed on September 5, 2024, generating net proceeds to the Company of $3,414,502, after deducting placement agent fees and offering expenses.</w:t>
      </w:r>
    </w:p>
    <w:p>
      <w:pPr>
        <w:sectPr>
          <w:pgSz w:w="11900" w:h="16838" w:orient="portrait"/>
          <w:cols w:equalWidth="0" w:num="1">
            <w:col w:w="11240"/>
          </w:cols>
          <w:pgMar w:left="320" w:top="121" w:right="339" w:bottom="0" w:gutter="0" w:footer="0" w:header="0"/>
        </w:sectPr>
      </w:pPr>
    </w:p>
    <w:bookmarkStart w:id="50" w:name="page51"/>
    <w:bookmarkEnd w:id="50"/>
    <w:p>
      <w:pPr>
        <w:jc w:val="both"/>
        <w:spacing w:after="0" w:line="256" w:lineRule="auto"/>
        <w:rPr>
          <w:sz w:val="20"/>
          <w:szCs w:val="20"/>
          <w:color w:val="auto"/>
        </w:rPr>
      </w:pPr>
      <w:r>
        <w:rPr>
          <w:rFonts w:ascii="Times New Roman" w:cs="Times New Roman" w:eastAsia="Times New Roman" w:hAnsi="Times New Roman"/>
          <w:sz w:val="18"/>
          <w:szCs w:val="18"/>
          <w:color w:val="auto"/>
        </w:rPr>
        <w:t>The September 2024 Pre-Funded Warrants have an exercise price of $0.02 per share and were immediately exercisable on September 5, 2024 and may be exercised at any time until exercised in full. The Series A and Series B Warrants have an exercise price of $27.60 per share and were exercisable beginning on the effective date of stockholder approval to approve the issuance of the shares underlying the Series A and Series B Warrants and the September 2024 Agent Warrants, defined below, to comply with applicable listing rules and regulations of the Nasdaq Stock Market (“Stockholder Approval”), which was later received on November 6, 2024 (the “Stockholder Approval Date”). The Series A Warrants expire five years after the Stockholder Approval Date or November 6, 2029, and the Series B Warrants will expire 18 months after the Stockholder Approval Date, or May 6, 2026.</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compensation for acting as the placement agent for the Private Placement, the Company issued to H.C. Wainwright &amp; Co., LLC warrants to purchase up to 10,870 shares of stock (the “September 2024 Agent Warrants”). The September 2024 Agent Warrants have substantially the same terms as the Series A Warrants, except that the September 2024 Agent Warrants have an exercise price equal to $34.50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Company’s equity-classified warrants during the year ended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6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80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r>
      <w:tr>
        <w:trPr>
          <w:trHeight w:val="245"/>
        </w:trPr>
        <w:tc>
          <w:tcPr>
            <w:tcW w:w="6800" w:type="dxa"/>
            <w:vAlign w:val="bottom"/>
          </w:tcPr>
          <w:p>
            <w:pPr>
              <w:spacing w:after="0"/>
              <w:rPr>
                <w:sz w:val="21"/>
                <w:szCs w:val="21"/>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60" w:type="dxa"/>
            <w:vAlign w:val="bottom"/>
          </w:tcPr>
          <w:p>
            <w:pPr>
              <w:spacing w:after="0"/>
              <w:rPr>
                <w:sz w:val="21"/>
                <w:szCs w:val="21"/>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outstanding, December 31, 2023</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1,479.86</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480,879</w:t>
            </w:r>
          </w:p>
        </w:tc>
        <w:tc>
          <w:tcPr>
            <w:tcW w:w="160" w:type="dxa"/>
            <w:vAlign w:val="bottom"/>
          </w:tcPr>
          <w:p>
            <w:pPr>
              <w:spacing w:after="0"/>
              <w:rPr>
                <w:sz w:val="24"/>
                <w:szCs w:val="24"/>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24.01</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w:t>
            </w: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(52,792)</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Indefinite</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7"/>
                <w:szCs w:val="17"/>
                <w:color w:val="auto"/>
              </w:rPr>
              <w:t>Total outstanding, December 31, 2024</w:t>
            </w:r>
            <w:r>
              <w:rPr>
                <w:rFonts w:ascii="Times New Roman" w:cs="Times New Roman" w:eastAsia="Times New Roman" w:hAnsi="Times New Roman"/>
                <w:sz w:val="23"/>
                <w:szCs w:val="23"/>
                <w:color w:val="auto"/>
                <w:vertAlign w:val="superscript"/>
              </w:rPr>
              <w:t>(1)</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441,277</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70.37</w:t>
            </w: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top w:val="single" w:sz="8" w:color="CCEEFF"/>
            </w:tcBorders>
          </w:tcPr>
          <w:p>
            <w:pPr>
              <w:spacing w:after="0"/>
              <w:rPr>
                <w:sz w:val="18"/>
                <w:szCs w:val="18"/>
                <w:color w:val="auto"/>
              </w:rPr>
            </w:pPr>
          </w:p>
        </w:tc>
      </w:tr>
      <w:tr>
        <w:trPr>
          <w:trHeight w:val="34"/>
        </w:trPr>
        <w:tc>
          <w:tcPr>
            <w:tcW w:w="68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23"/>
        </w:trPr>
        <w:tc>
          <w:tcPr>
            <w:tcW w:w="6800" w:type="dxa"/>
            <w:vAlign w:val="bottom"/>
            <w:tcBorders>
              <w:bottom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Total exercisable, December 31, 2024</w:t>
            </w:r>
            <w:r>
              <w:rPr>
                <w:rFonts w:ascii="Times New Roman" w:cs="Times New Roman" w:eastAsia="Times New Roman" w:hAnsi="Times New Roman"/>
                <w:sz w:val="24"/>
                <w:szCs w:val="24"/>
                <w:color w:val="auto"/>
                <w:vertAlign w:val="superscript"/>
              </w:rPr>
              <w:t>(1)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441,277</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ind w:left="400" w:hanging="392"/>
        <w:spacing w:after="0" w:line="231" w:lineRule="auto"/>
        <w:tabs>
          <w:tab w:leader="none" w:pos="400" w:val="left"/>
        </w:tabs>
        <w:numPr>
          <w:ilvl w:val="0"/>
          <w:numId w:val="4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Weighted average remaining contractual life calculations exclude (i) 4,164 Pre-Funded Warrants issued January 2024 that do not have a contractual expiration date, for which 0 remained outstanding at December 31, 2024 and (ii) 144,928 Pre-Funded Warrants issued September 2024 that do not have a contractual expiration date, for which 96,300 remained outstanding and were exercisable at December 31, 2024.</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2024, the Company received aggregate cash proceeds of $10,963 upon the exercise of 4,164 January 2024 Pre-Funded Warrants and 48,628 September 2024 Pre-Funded Warrants.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summary of the activity for the Company’s equity-classified warrants during the year ended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6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6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682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r>
      <w:tr>
        <w:trPr>
          <w:trHeight w:val="245"/>
        </w:trPr>
        <w:tc>
          <w:tcPr>
            <w:tcW w:w="6820" w:type="dxa"/>
            <w:vAlign w:val="bottom"/>
          </w:tcPr>
          <w:p>
            <w:pPr>
              <w:spacing w:after="0"/>
              <w:rPr>
                <w:sz w:val="21"/>
                <w:szCs w:val="21"/>
                <w:color w:val="auto"/>
              </w:rPr>
            </w:pPr>
          </w:p>
        </w:tc>
        <w:tc>
          <w:tcPr>
            <w:tcW w:w="14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40" w:type="dxa"/>
            <w:vAlign w:val="bottom"/>
          </w:tcPr>
          <w:p>
            <w:pPr>
              <w:spacing w:after="0"/>
              <w:rPr>
                <w:sz w:val="21"/>
                <w:szCs w:val="21"/>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6820" w:type="dxa"/>
            <w:vAlign w:val="bottom"/>
            <w:tcBorders>
              <w:top w:val="single" w:sz="8" w:color="CCEEFF"/>
            </w:tcBorders>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Total outstanding, December 31, 2024</w:t>
            </w:r>
            <w:r>
              <w:rPr>
                <w:rFonts w:ascii="Times New Roman" w:cs="Times New Roman" w:eastAsia="Times New Roman" w:hAnsi="Times New Roman"/>
                <w:sz w:val="24"/>
                <w:szCs w:val="24"/>
                <w:color w:val="auto"/>
                <w:vertAlign w:val="superscript"/>
              </w:rPr>
              <w:t>(1)</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2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(2)</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1,771,520</w:t>
            </w: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2.76</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(315,869)</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0.009</w:t>
            </w:r>
          </w:p>
        </w:tc>
        <w:tc>
          <w:tcPr>
            <w:tcW w:w="14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Indefinite</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outstanding, December 31, 2025</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1,896,928</w:t>
            </w: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23.29</w:t>
            </w:r>
          </w:p>
        </w:tc>
        <w:tc>
          <w:tcPr>
            <w:tcW w:w="80" w:type="dxa"/>
            <w:vAlign w:val="bottom"/>
            <w:tcBorders>
              <w:top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top w:val="single" w:sz="8" w:color="CCEEFF"/>
            </w:tcBorders>
          </w:tcPr>
          <w:p>
            <w:pPr>
              <w:spacing w:after="0"/>
              <w:rPr>
                <w:sz w:val="18"/>
                <w:szCs w:val="18"/>
                <w:color w:val="auto"/>
              </w:rPr>
            </w:pPr>
          </w:p>
        </w:tc>
      </w:tr>
      <w:tr>
        <w:trPr>
          <w:trHeight w:val="34"/>
        </w:trPr>
        <w:tc>
          <w:tcPr>
            <w:tcW w:w="68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r>
      <w:tr>
        <w:trPr>
          <w:trHeight w:val="223"/>
        </w:trPr>
        <w:tc>
          <w:tcPr>
            <w:tcW w:w="682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Total exercisable, December 31, 2025</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1,896,928</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w:t>
            </w:r>
          </w:p>
        </w:tc>
        <w:tc>
          <w:tcPr>
            <w:tcW w:w="8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Borders>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ind w:left="400" w:right="20" w:hanging="392"/>
        <w:spacing w:after="0" w:line="223" w:lineRule="auto"/>
        <w:tabs>
          <w:tab w:leader="none" w:pos="40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Weighted average remaining contractual life at December 31, 2024 excludes 96,300 Pre-Funded Warrants issued September 2024 that do not have a contractual expiration date, for which 0 warrants remain outstanding and exercisable at December 31, 2025.</w:t>
      </w:r>
    </w:p>
    <w:p>
      <w:pPr>
        <w:spacing w:after="0" w:line="1" w:lineRule="exact"/>
        <w:rPr>
          <w:rFonts w:ascii="Times New Roman" w:cs="Times New Roman" w:eastAsia="Times New Roman" w:hAnsi="Times New Roman"/>
          <w:sz w:val="24"/>
          <w:szCs w:val="24"/>
          <w:color w:val="auto"/>
          <w:vertAlign w:val="superscript"/>
        </w:rPr>
      </w:pPr>
    </w:p>
    <w:p>
      <w:pPr>
        <w:ind w:left="400" w:hanging="392"/>
        <w:spacing w:after="0" w:line="214" w:lineRule="auto"/>
        <w:tabs>
          <w:tab w:leader="none" w:pos="400" w:val="left"/>
        </w:tabs>
        <w:numPr>
          <w:ilvl w:val="0"/>
          <w:numId w:val="4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Weighted average remaining contractual life excludes 219,569 Pre-Funded Warrants issued July 2025 that do not have a contractual expiration date, for which 0 warrants remain outstanding and exercisable at December 31, 2025.</w:t>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received aggregate cash proceeds of $2,804 upon the exercise of 96,300 September 2024 Pre-Funded Warrants and 219,569 July 2025 Pre-Funded Warrants.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equity classified warrants on the respective grant or reclassification dates for the years ended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Borders>
              <w:bottom w:val="single" w:sz="8" w:color="CCEEFF"/>
            </w:tcBorders>
          </w:tcPr>
          <w:p>
            <w:pPr>
              <w:spacing w:after="0"/>
              <w:rPr>
                <w:sz w:val="21"/>
                <w:szCs w:val="21"/>
                <w:color w:val="auto"/>
              </w:rPr>
            </w:pPr>
          </w:p>
        </w:tc>
        <w:tc>
          <w:tcPr>
            <w:tcW w:w="3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3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6.56 - 16.00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28.80 - 67.20</w:t>
            </w:r>
          </w:p>
        </w:tc>
        <w:tc>
          <w:tcPr>
            <w:tcW w:w="160" w:type="dxa"/>
            <w:vAlign w:val="bottom"/>
            <w:shd w:val="clear" w:color="auto" w:fill="CCEEFF"/>
          </w:tcPr>
          <w:p>
            <w:pPr>
              <w:spacing w:after="0"/>
              <w:rPr>
                <w:sz w:val="18"/>
                <w:szCs w:val="18"/>
                <w:color w:val="auto"/>
              </w:rPr>
            </w:pPr>
          </w:p>
        </w:tc>
      </w:tr>
      <w:tr>
        <w:trPr>
          <w:trHeight w:val="229"/>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34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7.60 - 25.53</w:t>
            </w:r>
          </w:p>
        </w:tc>
        <w:tc>
          <w:tcPr>
            <w:tcW w:w="2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27.60 - 101.64</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3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- 4.21%</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- 3.98%</w:t>
            </w:r>
          </w:p>
        </w:tc>
      </w:tr>
      <w:tr>
        <w:trPr>
          <w:trHeight w:val="230"/>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95.00%</w:t>
            </w:r>
          </w:p>
        </w:tc>
      </w:tr>
      <w:tr>
        <w:trPr>
          <w:trHeight w:val="22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3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9"/>
              </w:rPr>
              <w:t>- 5.00</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- 5.00</w:t>
            </w: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3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0.00%</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Series A Preferred Stock</w:t>
      </w:r>
    </w:p>
    <w:p>
      <w:pPr>
        <w:sectPr>
          <w:pgSz w:w="11900" w:h="16838" w:orient="portrait"/>
          <w:cols w:equalWidth="0" w:num="1">
            <w:col w:w="11240"/>
          </w:cols>
          <w:pgMar w:left="320" w:top="337" w:right="339" w:bottom="0" w:gutter="0" w:footer="0" w:header="0"/>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8, as a result of the completion of the IPO and as required under the terms of the Knight Debt Conversion Agreement, the Company converted the entirety of the accumulated interest on the Convertible Knight Loan as of March 31, 2022 into 80,965 shares of Series A Preferred Stock. During the years ended December 31, 2025 and 2024, the Company converted an aggregate of 0 and 2,323 shares of Series A Preferred Stock, respectively, into 0 and 3,667 shares of common stock, respectively, at the applicable conversion rate detailed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holders of shares of Series A Preferred Stock have the rights, preferences, powers, restrictions and limitations as set forth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The holders of shares of Series A Preferred Stock are not entitled to any voting rights.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 From and after the date of issuance of any share of Series A Preferred Stock, cumulative dividends shall accrue, whether or not declared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and whether or not there are funds legally available for the payment of dividends, on a daily basis in arrears at the rate of 6.0% per annum on the sum of the Liquidation Value (as defined below). Accrued dividends shall be paid in cash only when, as and if declared by the Board out of funds legally available therefor or upon a liquidation or redemption of the Series A Preferred Stock. On March 31 of each calendar year, any accrued and unpaid dividends shall accumulate and compound on such date and are cumulative until paid or converted. Holders of shares of Series A Preferred Stock are entitled to receive accrued and accumulated dividends prior to and in preference to any dividend, distribution, or redemption on shares of Common Stock or any other class of securities that is designated as junior to the Series A Preferred Stock. During the year ended December 31, 2024, accrued dividends on outstanding shares of Series A Preferred Stock totaled $483,301. During the year ended December 31, 2025, dividends in the amount of $501,056 accrued on outstanding shares of Series A Preferred Stock. As of December 31, 2025, cumulative dividends on outstanding shares of Series A Preferred Stock amount to $1,205,071. To date, the Company has not declared or paid any dividends.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Liquidation Rights - </w:t>
      </w:r>
      <w:r>
        <w:rPr>
          <w:rFonts w:ascii="Times New Roman" w:cs="Times New Roman" w:eastAsia="Times New Roman" w:hAnsi="Times New Roman"/>
          <w:sz w:val="18"/>
          <w:szCs w:val="18"/>
          <w:color w:val="auto"/>
        </w:rPr>
        <w:t>In the event of any voluntary or involuntary liquidation, dissolution or winding up of the Company, the holders of shares of Series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then outstanding will share ratably in any distribution of the remaining assets and funds of the Company with all other stockholders as if each share of Series A Preferred Stock had been converted by the Company to Common Stock as described below.</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The Company has the right, in its sole discretion, to convert all or any portion of the outstanding shares of Series A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fraction of a share), plus the aggregate accrued or accumulated and unpaid dividends thereon into a number of shares of Common Stock determined by (i) multiplying the number of shares to be converted by $100 per share, as adjusted for any stock splits, stock dividends, recapitalizations or similar transactions with respect to the Series A Preferred Stock (but unchanged as a result of the Reverse Stock Splits impacting the common stock on August 12, 2024, February 24, 2025, and January 20, 2026) (the “Liquidation Value”), (ii) plus all accrued and accumulated and unpaid dividends on such shares to be converted, and then (ii) dividing the result by the then-effective Conversion Price in effect, provided that such conversion would not result in the holders of shares of Series A Preferred Stock owning more than 19.9% of the outstanding shares of common stock on an as-converted basis. The “Conversion Price” is equal to the lesser of (a) the Liquidation Value, (b) the offering price per share of Common Stock in the Company’s IPO, or $1,200 per share, as adjusted for the Reverse Stock Splits, or (c) the 10-day volume weighted average price per share of Common Stock, as reasonably determined by the Company.</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SBA COVID-19 EIDL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May 14, 2020, the Company received COVID-19 EIDL lending from the Small Business Administration (SBA) in the amount of $150,000. The loan bears interest at an annual rate of 3.75% calculated on a monthly basis. Monthly payments of $731 were required beginning in November 2022, with a final balloon payment equal to the remaining principal due at the maturity date of October 12, 2050. The balance as of December 31, 2025 and 2024 is $152,775 and $155,891, respectively. The current maturity at December 31, 2025 is $8,772 and the long-term liability is $144,003 ($8,772 and $147,119 at December 31, 2024, respectively). The loan is collateralized by all tangible and intangible personal property of the Company. The Company is prohibited from accepting future advances under any superior liens on the collateral without the prior consent of SBA.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The current future payment obligations of the principal are as follows:</w:t>
            </w: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Principal</w:t>
            </w:r>
          </w:p>
        </w:tc>
      </w:tr>
      <w:tr>
        <w:trPr>
          <w:trHeight w:val="245"/>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Payments</w:t>
            </w:r>
          </w:p>
        </w:tc>
      </w:tr>
      <w:tr>
        <w:trPr>
          <w:trHeight w:val="216"/>
        </w:trPr>
        <w:tc>
          <w:tcPr>
            <w:tcW w:w="5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3,229</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3,337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3,480</w:t>
            </w:r>
          </w:p>
        </w:tc>
      </w:tr>
      <w:tr>
        <w:trPr>
          <w:trHeight w:val="216"/>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3,612</w:t>
            </w:r>
          </w:p>
        </w:tc>
      </w:tr>
      <w:tr>
        <w:trPr>
          <w:trHeight w:val="23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135,629</w:t>
            </w:r>
          </w:p>
        </w:tc>
      </w:tr>
      <w:tr>
        <w:trPr>
          <w:trHeight w:val="216"/>
        </w:trPr>
        <w:tc>
          <w:tcPr>
            <w:tcW w:w="5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5260" w:type="dxa"/>
            <w:vAlign w:val="bottom"/>
          </w:tcPr>
          <w:p>
            <w:pPr>
              <w:spacing w:after="0"/>
              <w:rPr>
                <w:sz w:val="24"/>
                <w:szCs w:val="24"/>
                <w:color w:val="auto"/>
              </w:rPr>
            </w:pPr>
          </w:p>
        </w:tc>
        <w:tc>
          <w:tcPr>
            <w:tcW w:w="4800" w:type="dxa"/>
            <w:vAlign w:val="bottom"/>
            <w:gridSpan w:val="3"/>
          </w:tcPr>
          <w:p>
            <w:pPr>
              <w:jc w:val="right"/>
              <w:ind w:right="4170"/>
              <w:spacing w:after="0"/>
              <w:rPr>
                <w:sz w:val="20"/>
                <w:szCs w:val="20"/>
                <w:color w:val="auto"/>
              </w:rPr>
            </w:pPr>
            <w:r>
              <w:rPr>
                <w:rFonts w:ascii="Times New Roman" w:cs="Times New Roman" w:eastAsia="Times New Roman" w:hAnsi="Times New Roman"/>
                <w:sz w:val="18"/>
                <w:szCs w:val="18"/>
                <w:color w:val="auto"/>
              </w:rPr>
              <w:t>F-22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ASC 815, derivative liabilities are initially measured at fair value at the commitment date and subsequently remeasured at each reporting period, with any increase or decrease in the fair value recorded in the results of operations within other income (expense), net as the change in fair value of derivative liabilities.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derivative liabilities consist of the contingent milestone payment due to Knight Therapeutics, Inc. (“Knight”), a former lender of the Company, as required by the Debt Conversion Agreement executed between the Company and Knight on January 9, 2023, as subsequently amended (the “Knight Debt Conversion Agreement”). Key points of this agreement were as follows:</w:t>
      </w:r>
    </w:p>
    <w:p>
      <w:pPr>
        <w:sectPr>
          <w:pgSz w:w="11900" w:h="16838" w:orient="portrait"/>
          <w:cols w:equalWidth="0" w:num="1">
            <w:col w:w="11240"/>
          </w:cols>
          <w:pgMar w:left="320" w:top="121" w:right="339" w:bottom="128" w:gutter="0" w:footer="0" w:header="0"/>
        </w:sectPr>
      </w:pPr>
    </w:p>
    <w:bookmarkStart w:id="52" w:name="page53"/>
    <w:bookmarkEnd w:id="52"/>
    <w:p>
      <w:pPr>
        <w:ind w:left="660" w:firstLine="57"/>
        <w:spacing w:after="0" w:line="258" w:lineRule="auto"/>
        <w:rPr>
          <w:sz w:val="20"/>
          <w:szCs w:val="20"/>
          <w:color w:val="auto"/>
        </w:rPr>
      </w:pPr>
      <w:r>
        <w:rPr>
          <w:rFonts w:ascii="Times New Roman" w:cs="Times New Roman" w:eastAsia="Times New Roman" w:hAnsi="Times New Roman"/>
          <w:sz w:val="18"/>
          <w:szCs w:val="18"/>
          <w:color w:val="auto"/>
        </w:rPr>
        <w:t>The Parties agreed to fix Knight’s cumulative debt to the value as it stood on March 31, 2022, which consisted of principal and accumulated interest. As a result of the completion of the IPO, the cumulative outstanding principal as of March 31, 2022 converted into 4,619 shares of common stock (representing 19.9% ownership of the Company’s common stock after giving effect to the IPO), and the entirety of the accumulated interest as of March 31, 2022 converted into 80,965 shares of Series A Preferred Stock, in full satisfaction of the Company’s obligations with respect to the outstanding principal and accumulated interest.</w:t>
      </w:r>
    </w:p>
    <w:p>
      <w:pPr>
        <w:spacing w:after="0" w:line="183" w:lineRule="exact"/>
        <w:rPr>
          <w:sz w:val="20"/>
          <w:szCs w:val="20"/>
          <w:color w:val="auto"/>
        </w:rPr>
      </w:pPr>
    </w:p>
    <w:p>
      <w:pPr>
        <w:ind w:left="660" w:firstLine="57"/>
        <w:spacing w:after="0" w:line="266" w:lineRule="auto"/>
        <w:rPr>
          <w:sz w:val="20"/>
          <w:szCs w:val="20"/>
          <w:color w:val="auto"/>
        </w:rPr>
      </w:pPr>
      <w:r>
        <w:rPr>
          <w:rFonts w:ascii="Times New Roman" w:cs="Times New Roman" w:eastAsia="Times New Roman" w:hAnsi="Times New Roman"/>
          <w:sz w:val="18"/>
          <w:szCs w:val="18"/>
          <w:color w:val="auto"/>
        </w:rPr>
        <w:t>The Parties agreed that the Company will make a milestone payment of $10 million to Knight if, after the IPO, the Company sells Arakoda™ or if a Change of Control (as per the definition included in the original loan agreement dated on December 10, 2015) occurs, provided that the purchaser of Arakoda™ or individual or entity gaining control of the Borrower is not the Lender or an affiliate of the Lender.</w:t>
      </w:r>
    </w:p>
    <w:p>
      <w:pPr>
        <w:spacing w:after="0" w:line="175" w:lineRule="exact"/>
        <w:rPr>
          <w:sz w:val="20"/>
          <w:szCs w:val="20"/>
          <w:color w:val="auto"/>
        </w:rPr>
      </w:pPr>
    </w:p>
    <w:p>
      <w:pPr>
        <w:ind w:left="660" w:firstLine="57"/>
        <w:spacing w:after="0" w:line="266" w:lineRule="auto"/>
        <w:rPr>
          <w:sz w:val="20"/>
          <w:szCs w:val="20"/>
          <w:color w:val="auto"/>
        </w:rPr>
      </w:pPr>
      <w:r>
        <w:rPr>
          <w:rFonts w:ascii="Times New Roman" w:cs="Times New Roman" w:eastAsia="Times New Roman" w:hAnsi="Times New Roman"/>
          <w:sz w:val="18"/>
          <w:szCs w:val="18"/>
          <w:color w:val="auto"/>
        </w:rPr>
        <w:t>For the period ending upon the earlier of (i) 10 years after the closing of the IPO, or (ii) the conversion or redemption in full of the Series A Preferred Stock, the Company will pay to Knight a royalty equal to 3.5% of the Company’s net sales (the “Royalty”) on a quarterly basis, where “Net Sales” has the same meaning as in the Company’s license agreement with the U.S. Army for tafenoquine.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consummation of the IPO, the Company concluded that the contingent milestone payment is a freestanding financial instrument that meets the definition of a derivative under ASC 815, and accordingly, the fair value of the derivative liability is marked to market each reporting period until settled. The Royalty due to Knight was determined to be an embedded component of the Series A Preferred Stock, however, is exempt from derivative accounting under the ASC 815 scope exception for specified volumes of sales or service revenues. Therefore, the Company accrues a royalty expense as sales are made.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a probability-weighted expected return method to determine the fair value of the contingent milestone payment. The valuation model uses significant unobservable inputs (Level 3), incorporating management’s assumptions regarding the timing and probability of discrete potential exit scenarios, forward interest rate curves, and a weighted average cost of capital based on implied and market yields to discount expected cash flows.</w:t>
      </w:r>
    </w:p>
    <w:p>
      <w:pPr>
        <w:spacing w:after="0" w:line="176"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valuation of the contingent milestone payment requires significant judgment and is sensitive to changes in assumptions related to the expected timing of payment, the likelihood of potential exit scenarios, and the selected discount rate. In developing these assumptions, management considers various qualitative and quantitative factors, including the anticipated progression toward clinical, commercial, and profitability milestones and the potential for a strategic transaction following achievement of each milestone. These factors are evaluated collectively to assess the probability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weighted timing of the contingent payment under each potential exit scenario reflected in the valuation. As of December 31, 2025 and 2024, the discount rates applied in the valuation were 12.49% and 11.65%, respectively.</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any of the assumptions used in the valuation could result in a materially different fair value measurement and, as a result, could lead to materially different gains or losses recognized in the Consolidated Statements of Operations and Comprehensive Loss upon recurring remeasurement.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liabilities measured at fair value on a recurring basis using significant unobservable inputs (Level 3) is as follows for the year ended December 31, 2025:</w:t>
      </w:r>
    </w:p>
    <w:p>
      <w:pPr>
        <w:spacing w:after="0" w:line="158"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Contingent</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Milestone</w:t>
      </w:r>
    </w:p>
    <w:p>
      <w:pPr>
        <w:spacing w:after="0" w:line="9"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520" w:type="dxa"/>
            <w:vAlign w:val="bottom"/>
            <w:shd w:val="clear" w:color="auto" w:fill="CCECFF"/>
          </w:tcPr>
          <w:p>
            <w:pPr>
              <w:spacing w:after="0" w:line="20" w:lineRule="exact"/>
              <w:rPr>
                <w:sz w:val="1"/>
                <w:szCs w:val="1"/>
                <w:color w:val="auto"/>
              </w:rPr>
            </w:pPr>
          </w:p>
        </w:tc>
        <w:tc>
          <w:tcPr>
            <w:tcW w:w="3500" w:type="dxa"/>
            <w:vAlign w:val="bottom"/>
            <w:shd w:val="clear" w:color="auto" w:fill="CCEC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16"/>
        </w:trPr>
        <w:tc>
          <w:tcPr>
            <w:tcW w:w="6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December 31, 2024</w:t>
            </w:r>
          </w:p>
        </w:tc>
        <w:tc>
          <w:tcPr>
            <w:tcW w:w="3800" w:type="dxa"/>
            <w:vAlign w:val="bottom"/>
            <w:gridSpan w:val="2"/>
            <w:shd w:val="clear" w:color="auto" w:fill="CCEC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640,830</w:t>
            </w:r>
          </w:p>
        </w:tc>
      </w:tr>
      <w:tr>
        <w:trPr>
          <w:trHeight w:val="237"/>
        </w:trPr>
        <w:tc>
          <w:tcPr>
            <w:tcW w:w="65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00" w:type="dxa"/>
            <w:vAlign w:val="bottom"/>
            <w:tcBorders>
              <w:bottom w:val="single" w:sz="8" w:color="CCEC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(266,089)</w:t>
            </w:r>
          </w:p>
        </w:tc>
      </w:tr>
      <w:tr>
        <w:trPr>
          <w:trHeight w:val="248"/>
        </w:trPr>
        <w:tc>
          <w:tcPr>
            <w:tcW w:w="65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December 31, 2025</w:t>
            </w:r>
          </w:p>
        </w:tc>
        <w:tc>
          <w:tcPr>
            <w:tcW w:w="3500" w:type="dxa"/>
            <w:vAlign w:val="bottom"/>
            <w:tcBorders>
              <w:bottom w:val="single" w:sz="8" w:color="CCECFF"/>
            </w:tcBorders>
            <w:shd w:val="clear" w:color="auto" w:fill="CCECFF"/>
          </w:tcPr>
          <w:p>
            <w:pPr>
              <w:spacing w:after="0"/>
              <w:rPr>
                <w:sz w:val="21"/>
                <w:szCs w:val="21"/>
                <w:color w:val="auto"/>
              </w:rPr>
            </w:pPr>
          </w:p>
        </w:tc>
        <w:tc>
          <w:tcPr>
            <w:tcW w:w="300" w:type="dxa"/>
            <w:vAlign w:val="bottom"/>
            <w:tcBorders>
              <w:bottom w:val="single" w:sz="8" w:color="auto"/>
            </w:tcBorders>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374,741</w:t>
            </w:r>
          </w:p>
        </w:tc>
      </w:tr>
      <w:tr>
        <w:trPr>
          <w:trHeight w:val="20"/>
        </w:trPr>
        <w:tc>
          <w:tcPr>
            <w:tcW w:w="6520" w:type="dxa"/>
            <w:vAlign w:val="bottom"/>
            <w:tcBorders>
              <w:top w:val="single" w:sz="8" w:color="CCECFF"/>
            </w:tcBorders>
          </w:tcPr>
          <w:p>
            <w:pPr>
              <w:spacing w:after="0" w:line="20" w:lineRule="exact"/>
              <w:rPr>
                <w:sz w:val="1"/>
                <w:szCs w:val="1"/>
                <w:color w:val="auto"/>
              </w:rPr>
            </w:pPr>
          </w:p>
        </w:tc>
        <w:tc>
          <w:tcPr>
            <w:tcW w:w="3500" w:type="dxa"/>
            <w:vAlign w:val="bottom"/>
            <w:tcBorders>
              <w:top w:val="single" w:sz="8" w:color="CCECFF"/>
            </w:tcBorders>
          </w:tcPr>
          <w:p>
            <w:pPr>
              <w:spacing w:after="0" w:line="20" w:lineRule="exact"/>
              <w:rPr>
                <w:sz w:val="1"/>
                <w:szCs w:val="1"/>
                <w:color w:val="auto"/>
              </w:rPr>
            </w:pPr>
          </w:p>
        </w:tc>
        <w:tc>
          <w:tcPr>
            <w:tcW w:w="300" w:type="dxa"/>
            <w:vAlign w:val="bottom"/>
            <w:tcBorders>
              <w:top w:val="single" w:sz="8" w:color="CCECFF"/>
              <w:bottom w:val="single" w:sz="8" w:color="auto"/>
            </w:tcBorders>
          </w:tcPr>
          <w:p>
            <w:pPr>
              <w:spacing w:after="0" w:line="20" w:lineRule="exact"/>
              <w:rPr>
                <w:sz w:val="1"/>
                <w:szCs w:val="1"/>
                <w:color w:val="auto"/>
              </w:rPr>
            </w:pPr>
          </w:p>
        </w:tc>
        <w:tc>
          <w:tcPr>
            <w:tcW w:w="920" w:type="dxa"/>
            <w:vAlign w:val="bottom"/>
            <w:tcBorders>
              <w:top w:val="single" w:sz="8" w:color="CCEC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beginning and ending balances for the derivative liabilities measured at fair value on a recurring basis using significant unobservable inputs (Level 3) is as follows for the year ended December 31, 2024:</w:t>
      </w:r>
    </w:p>
    <w:p>
      <w:pPr>
        <w:spacing w:after="0" w:line="158"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8"/>
          <w:szCs w:val="18"/>
          <w:b w:val="1"/>
          <w:bCs w:val="1"/>
          <w:color w:val="auto"/>
        </w:rPr>
        <w:t>Contingent</w:t>
      </w:r>
    </w:p>
    <w:p>
      <w:pPr>
        <w:spacing w:after="0" w:line="3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Milestone</w:t>
      </w:r>
    </w:p>
    <w:p>
      <w:pPr>
        <w:spacing w:after="0" w:line="9" w:lineRule="exact"/>
        <w:rPr>
          <w:sz w:val="20"/>
          <w:szCs w:val="20"/>
          <w:color w:val="auto"/>
        </w:rPr>
      </w:pPr>
    </w:p>
    <w:p>
      <w:pPr>
        <w:ind w:left="10280"/>
        <w:spacing w:after="0"/>
        <w:rPr>
          <w:sz w:val="20"/>
          <w:szCs w:val="20"/>
          <w:color w:val="auto"/>
        </w:rPr>
      </w:pPr>
      <w:r>
        <w:rPr>
          <w:rFonts w:ascii="Times New Roman" w:cs="Times New Roman" w:eastAsia="Times New Roman" w:hAnsi="Times New Roman"/>
          <w:sz w:val="18"/>
          <w:szCs w:val="18"/>
          <w:b w:val="1"/>
          <w:bCs w:val="1"/>
          <w:color w:val="auto"/>
        </w:rPr>
        <w:t>Payment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020" w:type="dxa"/>
            <w:vAlign w:val="bottom"/>
            <w:tcBorders>
              <w:top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December 31, 2023</w:t>
            </w:r>
          </w:p>
        </w:tc>
        <w:tc>
          <w:tcPr>
            <w:tcW w:w="240" w:type="dxa"/>
            <w:vAlign w:val="bottom"/>
            <w:tcBorders>
              <w:top w:val="single" w:sz="8" w:color="auto"/>
            </w:tcBorders>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2,306,796</w:t>
            </w:r>
          </w:p>
        </w:tc>
      </w:tr>
      <w:tr>
        <w:trPr>
          <w:trHeight w:val="223"/>
        </w:trPr>
        <w:tc>
          <w:tcPr>
            <w:tcW w:w="10020" w:type="dxa"/>
            <w:vAlign w:val="bottom"/>
            <w:tcBorders>
              <w:bottom w:val="single" w:sz="8" w:color="CCECFF"/>
            </w:tcBorders>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(1,665,966)</w:t>
            </w:r>
          </w:p>
        </w:tc>
      </w:tr>
      <w:tr>
        <w:trPr>
          <w:trHeight w:val="248"/>
        </w:trPr>
        <w:tc>
          <w:tcPr>
            <w:tcW w:w="1002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Derivative liabilities - December 31, 2024</w:t>
            </w:r>
          </w:p>
        </w:tc>
        <w:tc>
          <w:tcPr>
            <w:tcW w:w="240" w:type="dxa"/>
            <w:vAlign w:val="bottom"/>
            <w:tcBorders>
              <w:bottom w:val="single" w:sz="8" w:color="auto"/>
            </w:tcBorders>
            <w:shd w:val="clear" w:color="auto" w:fill="CCEC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640,830</w:t>
            </w:r>
          </w:p>
        </w:tc>
      </w:tr>
      <w:tr>
        <w:trPr>
          <w:trHeight w:val="20"/>
        </w:trPr>
        <w:tc>
          <w:tcPr>
            <w:tcW w:w="1002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bottom w:val="single" w:sz="8" w:color="auto"/>
            </w:tcBorders>
          </w:tcPr>
          <w:p>
            <w:pPr>
              <w:spacing w:after="0" w:line="20" w:lineRule="exact"/>
              <w:rPr>
                <w:sz w:val="1"/>
                <w:szCs w:val="1"/>
                <w:color w:val="auto"/>
              </w:rPr>
            </w:pPr>
          </w:p>
        </w:tc>
        <w:tc>
          <w:tcPr>
            <w:tcW w:w="980" w:type="dxa"/>
            <w:vAlign w:val="bottom"/>
            <w:tcBorders>
              <w:top w:val="single" w:sz="8" w:color="CCEC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fair value of derivative liabilities are included as a component of other income (expense), net in the accompanying consolidated statements of operations and comprehensive loss. During the years ended December 31, 2025 and 2024, the Company recorded a net gain on the change in the fair value of derivative liabilities of $266,089 and $1,665,966,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provision (benefit) for income taxes for the years ended December 31, 2025 and 2024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26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w:t>
            </w:r>
          </w:p>
        </w:tc>
      </w:tr>
      <w:tr>
        <w:trPr>
          <w:trHeight w:val="236"/>
        </w:trPr>
        <w:tc>
          <w:tcPr>
            <w:tcW w:w="86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(6,908,764)</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(7,372,282)</w:t>
            </w:r>
          </w:p>
        </w:tc>
      </w:tr>
      <w:tr>
        <w:trPr>
          <w:trHeight w:val="23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(459,561)</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(583,381)</w:t>
            </w:r>
          </w:p>
        </w:tc>
      </w:tr>
      <w:tr>
        <w:trPr>
          <w:trHeight w:val="261"/>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Loss before Income Taxes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(7,368,325)</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(7,955,663)</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(benefit) for income taxes consisted of the following:</w:t>
      </w:r>
    </w:p>
    <w:p>
      <w:pPr>
        <w:spacing w:after="0" w:line="221"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p>
      <w:pPr>
        <w:sectPr>
          <w:pgSz w:w="11900" w:h="16838" w:orient="portrait"/>
          <w:cols w:equalWidth="0" w:num="1">
            <w:col w:w="11240"/>
          </w:cols>
          <w:pgMar w:left="320" w:top="121" w:right="339" w:bottom="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45"/>
        </w:trPr>
        <w:tc>
          <w:tcPr>
            <w:tcW w:w="860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31,</w:t>
            </w: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w:t>
            </w: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3"/>
        </w:trPr>
        <w:tc>
          <w:tcPr>
            <w:tcW w:w="860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00" w:type="dxa"/>
            <w:vAlign w:val="bottom"/>
            <w:tcBorders>
              <w:top w:val="single" w:sz="8" w:color="CCEEFF"/>
            </w:tcBorders>
          </w:tcPr>
          <w:p>
            <w:pPr>
              <w:ind w:left="140"/>
              <w:spacing w:after="0" w:line="203" w:lineRule="exact"/>
              <w:rPr>
                <w:sz w:val="20"/>
                <w:szCs w:val="20"/>
                <w:color w:val="auto"/>
              </w:rPr>
            </w:pPr>
            <w:r>
              <w:rPr>
                <w:rFonts w:ascii="Times New Roman" w:cs="Times New Roman" w:eastAsia="Times New Roman" w:hAnsi="Times New Roman"/>
                <w:sz w:val="18"/>
                <w:szCs w:val="18"/>
                <w:color w:val="auto"/>
              </w:rPr>
              <w:t>Total current provision (benefit)</w:t>
            </w: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9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9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98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98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0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Benefit</w:t>
            </w:r>
          </w:p>
        </w:tc>
        <w:tc>
          <w:tcPr>
            <w:tcW w:w="98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86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between income taxes computed at the U.S. statutory income tax rate to the Company’s provision (benefit) for income taxes for the year ended December 31, 2025, after the adoption of ASU 2023-09,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6"/>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w:t>
            </w:r>
          </w:p>
        </w:tc>
      </w:tr>
      <w:tr>
        <w:trPr>
          <w:trHeight w:val="245"/>
        </w:trPr>
        <w:tc>
          <w:tcPr>
            <w:tcW w:w="8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23"/>
        </w:trPr>
        <w:tc>
          <w:tcPr>
            <w:tcW w:w="85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 at 21%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(1,547,348)</w:t>
            </w:r>
          </w:p>
        </w:tc>
        <w:tc>
          <w:tcPr>
            <w:tcW w:w="3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Australia</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88,925</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items</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7,582</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(63,020)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45,544</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(90,670)</w:t>
            </w:r>
          </w:p>
        </w:tc>
        <w:tc>
          <w:tcPr>
            <w:tcW w:w="3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1,558,987</w:t>
            </w:r>
          </w:p>
        </w:tc>
        <w:tc>
          <w:tcPr>
            <w:tcW w:w="3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tcPr>
          <w:p>
            <w:pPr>
              <w:spacing w:after="0"/>
              <w:rPr>
                <w:sz w:val="18"/>
                <w:szCs w:val="18"/>
                <w:color w:val="auto"/>
              </w:rPr>
            </w:pPr>
          </w:p>
        </w:tc>
      </w:tr>
      <w:tr>
        <w:trPr>
          <w:trHeight w:val="250"/>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items</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r>
      <w:tr>
        <w:trPr>
          <w:trHeight w:val="223"/>
        </w:trPr>
        <w:tc>
          <w:tcPr>
            <w:tcW w:w="85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CCEEFF"/>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0.0</w:t>
            </w:r>
          </w:p>
        </w:tc>
        <w:tc>
          <w:tcPr>
            <w:tcW w:w="1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34"/>
        </w:trPr>
        <w:tc>
          <w:tcPr>
            <w:tcW w:w="85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Borders>
              <w:top w:val="single" w:sz="8" w:color="auto"/>
              <w:bottom w:val="single" w:sz="8" w:color="auto"/>
            </w:tcBorders>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reconciliation between income taxes computed at the U.S. statutory income tax rate to the Company’s provision (benefit) for income taxes for the year ended December 31, 2024, before the adoption of ASU 2023-09,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tc>
      </w:tr>
      <w:tr>
        <w:trPr>
          <w:trHeight w:val="245"/>
        </w:trPr>
        <w:tc>
          <w:tcPr>
            <w:tcW w:w="420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w:t>
            </w: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420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for income taxes at 21% rate</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(1,670,637)</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(588,221)</w:t>
            </w:r>
          </w:p>
        </w:tc>
        <w:tc>
          <w:tcPr>
            <w:tcW w:w="36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(437,296)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Impact of non-U.S. earnings</w:t>
            </w: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(22,103)</w:t>
            </w:r>
          </w:p>
        </w:tc>
        <w:tc>
          <w:tcPr>
            <w:tcW w:w="36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4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(347,008)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Other reconciling items, net</w:t>
            </w:r>
          </w:p>
        </w:tc>
        <w:tc>
          <w:tcPr>
            <w:tcW w:w="4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30,411</w:t>
            </w:r>
          </w:p>
        </w:tc>
        <w:tc>
          <w:tcPr>
            <w:tcW w:w="360" w:type="dxa"/>
            <w:vAlign w:val="bottom"/>
          </w:tcPr>
          <w:p>
            <w:pPr>
              <w:spacing w:after="0"/>
              <w:rPr>
                <w:sz w:val="18"/>
                <w:szCs w:val="18"/>
                <w:color w:val="auto"/>
              </w:rPr>
            </w:pPr>
          </w:p>
        </w:tc>
        <w:tc>
          <w:tcPr>
            <w:tcW w:w="9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3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3,034,854</w:t>
            </w:r>
          </w:p>
        </w:tc>
        <w:tc>
          <w:tcPr>
            <w:tcW w:w="3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(38.1)</w:t>
            </w:r>
          </w:p>
        </w:tc>
      </w:tr>
      <w:tr>
        <w:trPr>
          <w:trHeight w:val="210"/>
        </w:trPr>
        <w:tc>
          <w:tcPr>
            <w:tcW w:w="42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Benefit for Income Taxes</w:t>
            </w:r>
          </w:p>
        </w:tc>
        <w:tc>
          <w:tcPr>
            <w:tcW w:w="43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0.00</w:t>
            </w:r>
          </w:p>
        </w:tc>
        <w:tc>
          <w:tcPr>
            <w:tcW w:w="1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r>
      <w:tr>
        <w:trPr>
          <w:trHeight w:val="34"/>
        </w:trPr>
        <w:tc>
          <w:tcPr>
            <w:tcW w:w="4200" w:type="dxa"/>
            <w:vAlign w:val="bottom"/>
          </w:tcPr>
          <w:p>
            <w:pPr>
              <w:spacing w:after="0"/>
              <w:rPr>
                <w:sz w:val="2"/>
                <w:szCs w:val="2"/>
                <w:color w:val="auto"/>
              </w:rPr>
            </w:pPr>
          </w:p>
        </w:tc>
        <w:tc>
          <w:tcPr>
            <w:tcW w:w="4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432"/>
        </w:trPr>
        <w:tc>
          <w:tcPr>
            <w:tcW w:w="4200" w:type="dxa"/>
            <w:vAlign w:val="bottom"/>
          </w:tcPr>
          <w:p>
            <w:pPr>
              <w:spacing w:after="0"/>
              <w:rPr>
                <w:sz w:val="24"/>
                <w:szCs w:val="24"/>
                <w:color w:val="auto"/>
              </w:rPr>
            </w:pPr>
          </w:p>
        </w:tc>
        <w:tc>
          <w:tcPr>
            <w:tcW w:w="4620" w:type="dxa"/>
            <w:vAlign w:val="bottom"/>
            <w:gridSpan w:val="2"/>
          </w:tcPr>
          <w:p>
            <w:pPr>
              <w:jc w:val="right"/>
              <w:ind w:right="2930"/>
              <w:spacing w:after="0"/>
              <w:rPr>
                <w:sz w:val="20"/>
                <w:szCs w:val="20"/>
                <w:color w:val="auto"/>
              </w:rPr>
            </w:pPr>
            <w:r>
              <w:rPr>
                <w:rFonts w:ascii="Times New Roman" w:cs="Times New Roman" w:eastAsia="Times New Roman" w:hAnsi="Times New Roman"/>
                <w:sz w:val="18"/>
                <w:szCs w:val="18"/>
                <w:color w:val="auto"/>
              </w:rPr>
              <w:t>F-24</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(liabilities) as of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20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34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20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7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6,557,593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4,191,575</w:t>
            </w:r>
          </w:p>
        </w:tc>
      </w:tr>
      <w:tr>
        <w:trPr>
          <w:trHeight w:val="252"/>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credits</w:t>
            </w:r>
          </w:p>
        </w:tc>
        <w:tc>
          <w:tcPr>
            <w:tcW w:w="2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527,966</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437,296</w:t>
            </w: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Non-deductible reserves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75,213</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44,733</w:t>
            </w:r>
          </w:p>
        </w:tc>
      </w:tr>
      <w:tr>
        <w:trPr>
          <w:trHeight w:val="252"/>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Capitalized R&amp;D costs</w:t>
            </w:r>
          </w:p>
        </w:tc>
        <w:tc>
          <w:tcPr>
            <w:tcW w:w="2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975,924</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1,268,685</w:t>
            </w: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Share-based compensation</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58,890</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41,830</w:t>
            </w:r>
          </w:p>
        </w:tc>
      </w:tr>
      <w:tr>
        <w:trPr>
          <w:trHeight w:val="258"/>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temporary differences</w:t>
            </w:r>
          </w:p>
        </w:tc>
        <w:tc>
          <w:tcPr>
            <w:tcW w:w="2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8,196,960</w:t>
            </w: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5,984,119</w:t>
            </w:r>
          </w:p>
        </w:tc>
      </w:tr>
      <w:tr>
        <w:trPr>
          <w:trHeight w:val="24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(8,151,443)</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(5,915,350)</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4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45,517</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68,769</w:t>
            </w:r>
          </w:p>
        </w:tc>
      </w:tr>
      <w:tr>
        <w:trPr>
          <w:trHeight w:val="229"/>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4"/>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 depreciation</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(10,865)</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r>
      <w:tr>
        <w:trPr>
          <w:trHeight w:val="258"/>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w:t>
            </w:r>
          </w:p>
        </w:tc>
        <w:tc>
          <w:tcPr>
            <w:tcW w:w="2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(34,652)</w:t>
            </w: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(65,986)</w:t>
            </w:r>
          </w:p>
        </w:tc>
      </w:tr>
      <w:tr>
        <w:trPr>
          <w:trHeight w:val="210"/>
        </w:trPr>
        <w:tc>
          <w:tcPr>
            <w:tcW w:w="620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deferred tax liabilities</w:t>
            </w:r>
          </w:p>
        </w:tc>
        <w:tc>
          <w:tcPr>
            <w:tcW w:w="24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(45,517)</w:t>
            </w:r>
          </w:p>
        </w:tc>
        <w:tc>
          <w:tcPr>
            <w:tcW w:w="1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(68,769)</w:t>
            </w:r>
          </w:p>
        </w:tc>
      </w:tr>
      <w:tr>
        <w:trPr>
          <w:trHeight w:val="248"/>
        </w:trPr>
        <w:tc>
          <w:tcPr>
            <w:tcW w:w="6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24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 w:right="339" w:bottom="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The valuation allowance increased by $2,236,093 during 2025. In determining the need for a valuation allowance, the Company has given consideration to its worldwide cumulative loss position when assessing the weight of the sources of taxable income that can be used to support the realization of deferred tax assets. The Company has assessed, on a jurisdictional basis, the available means of recovering deferred tax assets, including the ability to carry-back net operating losses, the existence of reversing temporary differences, the availability of tax planning strategies and available sources of future taxable income. The Company has determined that it is more likely than not that the Company will not recognize the benefits of the U.S. Federal, state and net deferred tax assets, and, as a result, a full valuation allowance has been set against its net deferred tax assets as of December 31, 2025 and December 31, 2024.</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December 31, 2025, the Company had U.S. federal and state net operating loss carryforwards of approximately $17,028,834 and $17,026,834 respectively, and U.S. federal tax credits of $527,966. At December 31, 2024, the Company had U.S. federal and state net operating loss carryforwards of approximately $9,235,194 and $9,234,194 respectively, and U.S. federal tax credits of $437,296. The U.S. federal and state net operating losses carryforward indefinitely but may only be used to offset 80% of annual taxable income due to the Tax Cuts and Jobs Act. The U.S. federal tax credits begin to expire in 2042. The Company had $7,487,256 and $6,601,381 of foreign net operating loss carryforwards which carryforward indefinitely at December 31, 2025 and December 31, 2024,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Utilization of the NOL carryforwards may be subject to limitation under Section 382 of the Internal Revenue Code of 1986 due to ownership change limitations that have occurred previously or that could occur in the future. These ownership changes may limit the amount of NOL and interest limitation carryforwards that can be utilized annually to offset future taxable income and tax, respectively. There could be additional ownership changes in the future, which may result in additional limitations on the utilization of the NOL and tax credit carryforwards.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conducts business globally and, as a result, it files income tax returns in U.S. federal and state jurisdictions and in Australia. In the normal course of business, the Company may be subject to examination by taxing authorities throughout the world. The tax years that remain subject to examination by major tax jurisdictions include the years ended December 31, 2022, 2023, 2024 and 2025. As of December 31, 2025, the Company is not under income tax examination in any jurisdiction.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ordinary course of business, there are many transactions and calculations for which the ultimate tax determination is uncertain. The Company establishes reserves for tax-related uncertainties based on estimates of whether, and the extent to which, additional taxes will be due. These reserves are established when the Company believes that certain positions might be challenged despite its belief that its tax return positions are fully supportable. The Company adjusts these reserves in light of changing facts and circumstances, such as the outcome of tax examinations. As of December 31, 2025 and December 31, 2024, no reserves for uncertain tax positions have been established.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interest and penalties accrued related to unrecognized tax benefits as income tax expense. During the years ended December 31, 2025 and December 31, 2024 the Company did not recognize interest and penalties related to unrecognized tax benefits.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SHARE-BASED COMPENSATION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summary of share-based compensation expenses reported in the Consolidated Statements of Operations and Comprehensive Loss for the years ended December 31, 2025 and 2024:</w:t>
      </w:r>
    </w:p>
    <w:p>
      <w:pPr>
        <w:spacing w:after="0" w:line="158"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For the Year Ended December</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3,227,300</w:t>
            </w:r>
          </w:p>
        </w:tc>
      </w:tr>
      <w:tr>
        <w:trPr>
          <w:trHeight w:val="237"/>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456,344</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381,348</w:t>
            </w:r>
          </w:p>
        </w:tc>
      </w:tr>
      <w:tr>
        <w:trPr>
          <w:trHeight w:val="248"/>
        </w:trPr>
        <w:tc>
          <w:tcPr>
            <w:tcW w:w="8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 Included in Operating Expenses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456,344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3,608,648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under 2022 Equity Incentive Plan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22, 2022, the Company adopted the 2022 Equity Incentive Plan (the “2022 Plan”), which provides for the grant of stock options, stock appreciation rights, restricted stock, restricted stock units and performance awards to eligible employees, directors and consultants, to be granted from time to time by the Board of Directors of the Company. The 2022 Plan provides for an automatic increase in the number of shares available for issuance beginning on January 1, 2023 and each January 1 thereafter, by 4% of the number of outstanding shares of common stock on the immediately preceding December 31, or such number of shares as determined by the Board of Directors. Additionally, on July 16, 2024, November 6, 2024, and October 8, 2025 the Company’s stockholders approved an increase to the number of shares available under the 2022 Plan by 20,834 shares, 25,000 shares, and 62,500 shares, respectively. As of December 31, 2025, the number of remaining shares available for issuance under the 2022 Plan is equal to 68,760.</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 options to employees, non-employees, and Directors with exercise prices equal to the closing price of the underlying shares of the Company’s common stock on the Nasdaq Capital Market on the date that the options are granted. Options granted generally have a term of five to ten years from the grant date and are subject to vesting as determined in the individual award agreement. The Company estimates the fair value of stock options on the grant date by applying the Black-Scholes option pricing valuation model.</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significant assumptions used in determining the fair value of options granted during the years ended December 31, 2025 and 2024:</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920" w:type="dxa"/>
            <w:vAlign w:val="bottom"/>
            <w:tcBorders>
              <w:bottom w:val="single" w:sz="8" w:color="CCEC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CCEC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CFF"/>
            </w:tcBorders>
          </w:tcPr>
          <w:p>
            <w:pPr>
              <w:spacing w:after="0"/>
              <w:rPr>
                <w:sz w:val="21"/>
                <w:szCs w:val="21"/>
                <w:color w:val="auto"/>
              </w:rPr>
            </w:pPr>
          </w:p>
        </w:tc>
      </w:tr>
      <w:tr>
        <w:trPr>
          <w:trHeight w:val="216"/>
        </w:trPr>
        <w:tc>
          <w:tcPr>
            <w:tcW w:w="7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Weighted-average grant date fair value</w:t>
            </w:r>
          </w:p>
        </w:tc>
        <w:tc>
          <w:tcPr>
            <w:tcW w:w="220" w:type="dxa"/>
            <w:vAlign w:val="bottom"/>
            <w:shd w:val="clear" w:color="auto" w:fill="CCEC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80" w:type="dxa"/>
            <w:vAlign w:val="bottom"/>
            <w:shd w:val="clear" w:color="auto" w:fill="CCECFF"/>
          </w:tcPr>
          <w:p>
            <w:pPr>
              <w:spacing w:after="0"/>
              <w:rPr>
                <w:sz w:val="18"/>
                <w:szCs w:val="18"/>
                <w:color w:val="auto"/>
              </w:rPr>
            </w:pPr>
          </w:p>
        </w:tc>
        <w:tc>
          <w:tcPr>
            <w:tcW w:w="260" w:type="dxa"/>
            <w:vAlign w:val="bottom"/>
            <w:shd w:val="clear" w:color="auto" w:fill="CCEC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60" w:type="dxa"/>
            <w:vAlign w:val="bottom"/>
            <w:shd w:val="clear" w:color="auto" w:fill="CCECFF"/>
          </w:tcPr>
          <w:p>
            <w:pPr>
              <w:spacing w:after="0"/>
              <w:rPr>
                <w:sz w:val="18"/>
                <w:szCs w:val="18"/>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3.54%-4.36%</w:t>
            </w: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3.62%-4.17%</w:t>
            </w:r>
          </w:p>
        </w:tc>
      </w:tr>
      <w:tr>
        <w:trPr>
          <w:trHeight w:val="229"/>
        </w:trPr>
        <w:tc>
          <w:tcPr>
            <w:tcW w:w="7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20" w:type="dxa"/>
            <w:vAlign w:val="bottom"/>
            <w:shd w:val="clear" w:color="auto" w:fill="CCECFF"/>
          </w:tcPr>
          <w:p>
            <w:pPr>
              <w:spacing w:after="0"/>
              <w:rPr>
                <w:sz w:val="19"/>
                <w:szCs w:val="19"/>
                <w:color w:val="auto"/>
              </w:rPr>
            </w:pPr>
          </w:p>
        </w:tc>
        <w:tc>
          <w:tcPr>
            <w:tcW w:w="15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90.00%-107.65%</w:t>
            </w:r>
          </w:p>
        </w:tc>
        <w:tc>
          <w:tcPr>
            <w:tcW w:w="26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86.00%-87.00%</w:t>
            </w: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2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3.50-4.50</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6.41-10.00</w:t>
            </w:r>
          </w:p>
        </w:tc>
      </w:tr>
      <w:tr>
        <w:trPr>
          <w:trHeight w:val="230"/>
        </w:trPr>
        <w:tc>
          <w:tcPr>
            <w:tcW w:w="79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220" w:type="dxa"/>
            <w:vAlign w:val="bottom"/>
            <w:shd w:val="clear" w:color="auto" w:fill="CCECFF"/>
          </w:tcPr>
          <w:p>
            <w:pPr>
              <w:spacing w:after="0"/>
              <w:rPr>
                <w:sz w:val="19"/>
                <w:szCs w:val="19"/>
                <w:color w:val="auto"/>
              </w:rPr>
            </w:pPr>
          </w:p>
        </w:tc>
        <w:tc>
          <w:tcPr>
            <w:tcW w:w="1500" w:type="dxa"/>
            <w:vAlign w:val="bottom"/>
            <w:gridSpan w:val="2"/>
            <w:shd w:val="clear" w:color="auto" w:fill="CCECFF"/>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shd w:val="clear" w:color="auto" w:fill="CCECFF"/>
          </w:tcPr>
          <w:p>
            <w:pPr>
              <w:spacing w:after="0"/>
              <w:rPr>
                <w:sz w:val="19"/>
                <w:szCs w:val="19"/>
                <w:color w:val="auto"/>
              </w:rPr>
            </w:pPr>
          </w:p>
        </w:tc>
        <w:tc>
          <w:tcPr>
            <w:tcW w:w="1340" w:type="dxa"/>
            <w:vAlign w:val="bottom"/>
            <w:gridSpan w:val="2"/>
            <w:shd w:val="clear" w:color="auto" w:fill="CCECFF"/>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bl>
    <w:p>
      <w:pPr>
        <w:sectPr>
          <w:pgSz w:w="11900" w:h="16838" w:orient="portrait"/>
          <w:cols w:equalWidth="0" w:num="1">
            <w:col w:w="11240"/>
          </w:cols>
          <w:pgMar w:left="320" w:top="121" w:right="339"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activities during the year ended December 31, 2025:</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2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r>
      <w:tr>
        <w:trPr>
          <w:trHeight w:val="245"/>
        </w:trPr>
        <w:tc>
          <w:tcPr>
            <w:tcW w:w="524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4,414</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257.15</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38,000</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21.91</w:t>
            </w:r>
          </w:p>
        </w:tc>
        <w:tc>
          <w:tcPr>
            <w:tcW w:w="220" w:type="dxa"/>
            <w:vAlign w:val="bottom"/>
          </w:tcPr>
          <w:p>
            <w:pPr>
              <w:spacing w:after="0"/>
              <w:rPr>
                <w:sz w:val="19"/>
                <w:szCs w:val="19"/>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December 31, 2025</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42,414</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46.39</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6.41</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0"/>
        </w:trPr>
        <w:tc>
          <w:tcPr>
            <w:tcW w:w="5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Options vested and exercisable, December 31, 2025</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21,940</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47.18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8"/>
                <w:szCs w:val="18"/>
                <w:color w:val="auto"/>
              </w:rPr>
            </w:pPr>
          </w:p>
        </w:tc>
      </w:tr>
      <w:tr>
        <w:trPr>
          <w:trHeight w:val="432"/>
        </w:trPr>
        <w:tc>
          <w:tcPr>
            <w:tcW w:w="5240" w:type="dxa"/>
            <w:vAlign w:val="bottom"/>
          </w:tcPr>
          <w:p>
            <w:pPr>
              <w:spacing w:after="0"/>
              <w:rPr>
                <w:sz w:val="24"/>
                <w:szCs w:val="24"/>
                <w:color w:val="auto"/>
              </w:rPr>
            </w:pPr>
          </w:p>
        </w:tc>
        <w:tc>
          <w:tcPr>
            <w:tcW w:w="144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F-26</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activities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r>
      <w:tr>
        <w:trPr>
          <w:trHeight w:val="216"/>
        </w:trPr>
        <w:tc>
          <w:tcPr>
            <w:tcW w:w="524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22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r>
      <w:tr>
        <w:trPr>
          <w:trHeight w:val="245"/>
        </w:trPr>
        <w:tc>
          <w:tcPr>
            <w:tcW w:w="5240" w:type="dxa"/>
            <w:vAlign w:val="bottom"/>
          </w:tcPr>
          <w:p>
            <w:pPr>
              <w:spacing w:after="0"/>
              <w:rPr>
                <w:sz w:val="21"/>
                <w:szCs w:val="21"/>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0" w:type="dxa"/>
            <w:vAlign w:val="bottom"/>
          </w:tcPr>
          <w:p>
            <w:pPr>
              <w:spacing w:after="0"/>
              <w:rPr>
                <w:sz w:val="21"/>
                <w:szCs w:val="21"/>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4,254</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218.98</w:t>
            </w:r>
          </w:p>
        </w:tc>
        <w:tc>
          <w:tcPr>
            <w:tcW w:w="220" w:type="dxa"/>
            <w:vAlign w:val="bottom"/>
          </w:tcPr>
          <w:p>
            <w:pPr>
              <w:spacing w:after="0"/>
              <w:rPr>
                <w:sz w:val="19"/>
                <w:szCs w:val="19"/>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9"/>
                <w:szCs w:val="19"/>
                <w:color w:val="auto"/>
              </w:rPr>
            </w:pPr>
          </w:p>
        </w:tc>
      </w:tr>
      <w:tr>
        <w:trPr>
          <w:trHeight w:val="229"/>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2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0"/>
        </w:trPr>
        <w:tc>
          <w:tcPr>
            <w:tcW w:w="52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December 31, 2024</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4,414</w:t>
            </w:r>
          </w:p>
        </w:tc>
        <w:tc>
          <w:tcPr>
            <w:tcW w:w="8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257.15</w:t>
            </w:r>
          </w:p>
        </w:tc>
        <w:tc>
          <w:tcPr>
            <w:tcW w:w="8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36"/>
        </w:trPr>
        <w:tc>
          <w:tcPr>
            <w:tcW w:w="5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52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Options vested and exercisable, December 31, 2024</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466.91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3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tables above reflects the difference between the Company’s closing stock price on the last trading day of the period and the exercise price of the options, multiplied by the number of in-the-money stock options. The intrinsic value of stock options changes based on the price of the Company’s common stock.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16, 2024, the effective date of shareholder approval to increase the number of shares available under the 2022 Plan, the Company determined that the grant date criteria (as defined in ASC 718) was met, and therefore granted 3,212 stock options to certain directors, executives, and non-employees, in accordance with the terms of the individuals’ employment or directors’ agreements, as applicable. On September 26, 2024, the Board of Directors approved the grant of an additional 1,042 stock options to an executive.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Board approved the grant of a total of 30,000 stock options to two executives at a per share exercise price equal to the closing price of our common stock on January 2, 2025. On January 2, 2025, the Company determined that the grant date criteria (as defined in ASC 718) was met, and therefore granted of a total of 30,000 stock options to executives. On October 21, 2025, the Company’s Board of Directors approved the grant of 8,000 non-qualified stock options to each of the four directors (2,000 options per director) at a per share exercise price of $5.84. These stock options were fully vested on the date of grant and have a term of seven years.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recognized $279,873 of compensation expense related to stock option awards ($32,767 for the year ended December 31, 2024). No stock options were exercised, forfeited, or expired during the period presented. As of December 31, 2025, the Company had $415,553 of unrecognized share-based compensation expense related to unvested options that is expected to be recognized over a weighted-average period of approximately 3.00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Annual Performance Bonus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2024, the Board approved the payment of 2024 performance bonuses to executives of the Company. Each executive was provided the option of receiving up to $20,000 in cash, with the remainder paid in shares of common stock determined based on the closing market price on January 2, 2025. All shares issued are eligible for net settlement up to the maximum allowable amount according to the IRS of 22%. As the number of shares is variable, the Company determined this represents a liability for the fixed monetary amount that will be settled in shares. On January 20, 2025, the Company issued a total of 3,953 shares of common stock to the executives in settlement of the share-based portion of the 2024 performance bonuses. Approximately 688 shares were withheld to cover payroll tax withholdings. As of December 31, 2024, the share-based liability amounted to $121,544, which was presented as a component of Accounts Payable and Accrued Expenses on the accompanying Consolidated Balance Sheet.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Payments to Vendors for Services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2023, the Company issued shares of common stock as share-based payments to certain vendors in exchange for services to be rendered to the Company in the future. For fully vested, nonforfeitable equity instruments that are granted at the date the Company and a nonemployee enter into an agreement for goods or services, the Company recognizes the fair value of the equity instruments as a prepaid asset on the grant date, as defined in ASC 718. The corresponding cost is expensed over the service period depending on the specific facts and circumstances of the agreement with the nonemployee. As of December 31, 2025, the unamortized balance of prepaid assets related to these share-based payments for which the grant date criteria has been met is $195,887, which is presented as a component of Prepaid and Other Assets on the accompanying Consolidated Balance Sheet. Of this amount, $66,177 will</w:t>
      </w:r>
    </w:p>
    <w:p>
      <w:pPr>
        <w:sectPr>
          <w:pgSz w:w="11900" w:h="16838" w:orient="portrait"/>
          <w:cols w:equalWidth="0" w:num="1">
            <w:col w:w="11240"/>
          </w:cols>
          <w:pgMar w:left="320" w:top="121" w:right="339" w:bottom="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t>be recognized ratably over the remaining service period through May 15, 2026. The remaining $129,710 will be recognized as the related research and development services are provided, which the Company estimates will occur within one year.</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agreements with the nonemployees do not include any provisions to claw back the share-based payments in the event of nonperformance by the nonemployees. Subject to applicable federal and state securities laws, the nonemployees can sell the received equity instruments.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7520" w:firstLine="8"/>
        <w:spacing w:after="0" w:line="503" w:lineRule="auto"/>
        <w:tabs>
          <w:tab w:leader="none" w:pos="2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Operating Lease</w:t>
      </w: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party to a single lease with CXI Corp for its office space located in Washington, DC, which was most recently renewed in December 2025 for an additional one-year term that expires on March 31, 2027. As the term of the office lease is 12 months, the lease is not recorded on the balance sheet. The Company recognizes lease expense on this lease as short-term lease costs. Operating lease costs, including short-term leases, were in the amount of $20,350 and $28,867 for the years ended December 31,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and December 2022, the Company signed agreements with four director nominees (Cheryl Xu, Paul Field, Charles Allen and Stephen Toovey) which came into effect on July 11, 2023, the date the Company’s Registration Statement was declared effective. Each director is entitled to receive cash compensation of $11,250 quarterly. In addition, the two non-audit committee chairs (Toovey, Field) will receive $1,250 per quarter and the audit committee chair (Allen) will receive an additional $2,000 per quarter. In addition, each director is entitled to receive annual equity-based compensation awards, with the amounts and terms to be determined by the Compensation Committee.</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November 2024, the Company paid each non-executive director an additional $20,000 of cash compensation in lieu of granting equity-based compensation awards for the year ended December 31, 2024.</w:t>
      </w:r>
    </w:p>
    <w:p>
      <w:pPr>
        <w:spacing w:after="0" w:line="162"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In October 2025, the Company granted a total of 8,000 non-qualified stock options to each member of the Company’s Board of Directors (2,000 options per director) at a per share exercise price of $5.84. These stock options were fully vested on the date of grant and have a term of seven years.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operations are subject to a variety of local and state regulations. Failure to comply with one or more of those regulations could result in fines, restrictions on its operations, or losses of permits that could result in the Company ceasing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Contingent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Company’s IPO and the conversion of the outstanding debt pursuant to the Knight Debt Conversion Agreement, as discussed in Note 8, the Company is obligated to pay Knight a contingent milestone payment of $10 million if the Company sells Arakoda™ or if a Change of Control occurs. The Company accounts for the contingent milestone payment as a derivative liability (See Note 8).</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15, 2015, the Company entered into the Exclusive License Agreement with the U.S. Army Medical Materiel Development Activity (the “U.S. Army”), which was subsequently amended (the “U.S. Army Agreement”), in which the Company obtained a license to develop and commercialize the licensed technology with respect to all therapeutic applications and uses excluding radical cure of symptomatic vivax malaria. The term of the U.S. Army Agreement will continue until the expiration of the last to expire of the patent application or valid claim of the licensed technology, or 20 years from the start date of the U.S. Army Agreement, unless terminated earlier by the parties. The Company must make a minimum annual royalty payment of 3% of Net Sales (as defined in the U.S. Army Agreement) for Net Sales less than $35 million, and 5% of Net Sales greater than $35 million, with US government sales excluded from the definition of Net Sales. In addition, the Company must pay fees upon the achievement of certain milestones. The Company accrues the minimum annual royalty when the related sales occur. The achievement of the remaining milestones under the U.S. Army Agreement are not considered probable and thus no accruals for the related milestone payments have been made.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20, 2024, the Company entered into a Patent License Agreement with Tufts Medical Center (“Tufts MC”), pursuant to which the Company obtained a license to research and commercialize certain patent applications covering jointly developed inventions related to the use of tafenoquine for treatment and/or prevention of babesiosis. (the “Tufts MC Agreement”). The term of the Tufts MC Agreement will continue until the expiration or final abandonment of the last patent application or issued patent for the use of tafenoquine for treatment and/or prevention of babesiosis, unless terminated earlier by the parties. On the earlier of (x) the date of patent issuance or (y) the date of regulatory approval for the use of tafenoquine product in treatment of babesiosis, the Company must make royalty payments equal to 4% of Net Sales (as defined in the Tufts MC Agreement) of tafenoquine products sold in a format labeled for use in the treatment of babesiosis or 2% of Net Sales of tafenoquine products sold in a format not labeled for use in the treatment of babesiosis. In addition, for all sublicense revenue received by 60P from sales of sublicensed products, the Company must make payments equal to 20% of the revenue received by the Company for sales of tafenoquine products sold in a format labeled for use in the treatment of babesiosis or 10% of the revenue received for sales of tafenoquine that are sold in a format not labeled for use in the treatment of babesiosis. As of December 31, 2025, the royalty period has not commenced, thus no accruals have been made.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 Litigation, Claims and Assessments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relating to claims arising out of operations in the normal course of business. As of December 31, 2025, there were no pending or threatened lawsuits that could reasonably be expected to have a material effect on the results of the Company’s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ectPr>
          <w:pgSz w:w="11900" w:h="16838" w:orient="portrait"/>
          <w:cols w:equalWidth="0" w:num="1">
            <w:col w:w="11240"/>
          </w:cols>
          <w:pgMar w:left="320" w:top="121" w:right="339" w:bottom="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The Company has evaluated subsequent events through March 30, 2026, which is the date the consolidated financial statements were issued.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ATM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2025 ATM Agreement described in Note 6, between January 1, 2026 and January 22, 2026, the Company sold an aggregate of 418,602 shares at a weighted average price per share of $2.07, generating net proceeds to the Company of $834,705, after deducting commissions and certain other offering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1:4 Reverse Stock Split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14, 2026, the Company filed an amendment to its Certificate of Incorporation with the Secretary of State of Delaware to effect the 1:4 Reverse Stock Split. On January 20, 2026, the Company effected the 1:4 Reverse Stock Split of its common stock, and our common stock began trading on The Nasdaq Capital Market on a split adjusted basis. See Notes 2 and 6 for further details.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a reverse stock split at a ratio ranging from 1:3 to 1:10 at the 2025 Annual Stockholders Meeting on October 8, 2025, and subsequently on December 17, 2025, the Company’s Board of Directors approved the implementation of the reverse stock split at a ratio of 1:4.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the effective time of the 1:4 Reverse Stock Split, every four (4) issued and outstanding shares of the Company’s common stock were automatically combined and converted into one (1) issued and outstanding share of the Company’s common stock, reducing the number of shares of common stock outstanding from 5,436,441 shares to 1,359,091 shares. The 1:4 Reverse Stock Split did not change the authorized number of shares of common stock or preferred stock. Proportional adjustments were made to the number of shares of common stock issuable upon exercise or conversion of the Company’s equity awards, warrants, and other equity instruments convertible into common stock, as well as the respective exercise prices, if applicable in accordance with the terms of the instruments. No fractional shares of common stock were issued in connection with the 1:4 Reverse Stock Split. All fractional shares were rounded up to the nearest whole share with respect to outstanding shares of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noted, all references to numbers of shares of the Company’s common stock and per share information presented in these consolidated financial statements have been retroactively adjusted, as appropriate, to reflect the 1:4 Reverse Stock Split (as well as the 1:5 Reverse Stock Split in February 2025 and the 1:12 Reverse Stock Split in August 2024), including reclassifying an amount equal to the reduction in par value of common stock to additional paid-in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Nasdaq Delisting Notice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20, 2026, the Company received a written notice from the Nasdaq Listing Qualifications Department of The Nasdaq Stock Market LLC (“Nasdaq”) indicating that Nasdaq staff has determined to delist the Company’s common stock and warrants from The Nasdaq Capital Market because the Company’s common stock failed to maintain a minimum bid price of $1.00 per share for 30 consecutive business days, in violation of Nasdaq Listing Rule 5550(a)(2). The Company paid the $20,000 for the hearing fee and requested an appeal with Nasdaq, pursuant to the Notice, which stayed the suspension of trading and the filing of the Form 25-NSE pending the Panel’s decision.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11, 2026, the Company was notified by Nasdaq that the Company regained compliance with the minimum bid price requirement set forth in Nasdaq Listing Rule 5550(a)(2) and that the Company is therefore in compliance with the Nasdaq Capital Market’s listing requirements. As a result, the hearing before the Nasdaq Hearings Panel that had been scheduled for February 19, 2026, has been cancelled, and this matter was closed. The Company’s common stock will continue to be listed and traded on The Nasdaq Capital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March 2026 ATM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2, 2026, the Company filed a prospectus supplement pursuant to Rule 424(b)(5) (the “2026 ATM Prospectus Supplement”) in connection with the Company’s At-The-Market Offering Agreement, with H.C. Wainwright &amp; Co., LLC (“Wainwright”), pursuant to which the Company may, from time to time, offer and sell additional shares of its common stock having aggregate sales proceeds of up to $1,308,000 (the “2026 ATM Prospectus Supplement ”). The 2026 ATM Prospectus Supplement was subsequently amended on March 11, 2026, to increase the maximum aggregate offering price under the 2026 ATM Offering by $981,000 (the “2026 ATM Prospectus Supplement Amendment,” and together with the 2026 ATM Prospectus Supplement the “2026 ATM Offering”).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compensation for acting as the sales agent for the 2026 ATM Offering, Wainwright is entitled to a commission of 3.0% of the gross proceeds from the sales of shares in the 2026 ATM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common stock that may be sold pursuant to the 2026 ATM Prospectus Supplement will be issued and sold pursuant to the Company’s shelf registration statement on Form S-3 and accompanying base prospectus (Registration Statement No. 333-280796), which was declared effective by the SEC on July 18, 2024, and the 2026 ATM Prospectus Supplement relating to the offer and sale of the shares pursuant to the 2025 ATM Agreement.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Between March 2, 2026 and March 25, 2026, the Company sold an aggregate of 1,055,106 shares at a weighted average price per share of $2.49 generating net proceeds to the Company of $2,545,297, after deducting commissions and certain other offering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events or transactions during this time which would have a material effect on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r>
        <w:rPr>
          <w:rFonts w:ascii="Times New Roman" w:cs="Times New Roman" w:eastAsia="Times New Roman" w:hAnsi="Times New Roman"/>
          <w:sz w:val="18"/>
          <w:szCs w:val="18"/>
          <w:i w:val="1"/>
          <w:iCs w:val="1"/>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ectPr>
          <w:pgSz w:w="11900" w:h="16838" w:orient="portrait"/>
          <w:cols w:equalWidth="0" w:num="1">
            <w:col w:w="11240"/>
          </w:cols>
          <w:pgMar w:left="320" w:top="121" w:right="339" w:bottom="154" w:gutter="0" w:footer="0" w:header="0"/>
        </w:sectPr>
      </w:pPr>
    </w:p>
    <w:bookmarkStart w:id="58" w:name="page59"/>
    <w:bookmarkEnd w:id="58"/>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and not absolute assurance of achieving the desired control objectives, and management necessarily applies its judgment in evaluating the cost-benefit relationship of possible controls and procedures.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2025. Based on this evaluation, the Chief Executive Officer and Chief Financial Officer concluded that our disclosure controls and procedures were not effective in ensuring that information required to be disclosed by us in reports that we file or submit under the Exchange Act, processed, summarized and reported within the time periods specified in the SEC’s rules and forms, and that such information is accumulated and communicated to our management, including the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Report on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to provide reasonable assurance regarding the reliability of financial reporting and the preparation of financial statements for external purposes in accordance with generally accepted accounting principles (GAAP). As of December 31, 2025, our management conducted an assessment of the effectiveness of our internal control over financial reporting based on the criteria set forth by the Committee of Sponsoring Organizations of the Treadway Commission in Internal Control-Integrated Framework (2013 Framework).</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this assessment, our management concluded that our internal control over financial reporting was not effective as of December 31, 2025, due to the existence of material weaknesses in our internal control over financial reporting. These material weaknesses are described below:</w:t>
      </w:r>
    </w:p>
    <w:p>
      <w:pPr>
        <w:spacing w:after="0" w:line="162" w:lineRule="exact"/>
        <w:rPr>
          <w:sz w:val="20"/>
          <w:szCs w:val="20"/>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Inadequate Design of Policies and Procedures</w:t>
      </w:r>
      <w:r>
        <w:rPr>
          <w:rFonts w:ascii="Times New Roman" w:cs="Times New Roman" w:eastAsia="Times New Roman" w:hAnsi="Times New Roman"/>
          <w:sz w:val="18"/>
          <w:szCs w:val="18"/>
          <w:color w:val="auto"/>
        </w:rPr>
        <w:t>: We did not design policies and procedures at a sufficient level of precision to support the operating effectiveness of controls to prevent and detect potential errors.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Lack of Documentation</w:t>
      </w:r>
      <w:r>
        <w:rPr>
          <w:rFonts w:ascii="Times New Roman" w:cs="Times New Roman" w:eastAsia="Times New Roman" w:hAnsi="Times New Roman"/>
          <w:sz w:val="18"/>
          <w:szCs w:val="18"/>
          <w:color w:val="auto"/>
        </w:rPr>
        <w:t>: There was a failure to maintain adequate documentation to evidence the operating effectiveness of certain control activities and a lack of proper levels of supervision and review of complex accounting matters.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Control and Segregation of Duties</w:t>
      </w:r>
      <w:r>
        <w:rPr>
          <w:rFonts w:ascii="Times New Roman" w:cs="Times New Roman" w:eastAsia="Times New Roman" w:hAnsi="Times New Roman"/>
          <w:sz w:val="18"/>
          <w:szCs w:val="18"/>
          <w:color w:val="auto"/>
        </w:rPr>
        <w:t>: Inadequate controls in place related to maintaining appropriate access to certain systems and maintaining appropriate segregation of duties within those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undertaken a remediation plan to address these material weaknesses. During the year ended December 31, 2025, we continued to enhance our internal control over financial reporting through various initiatives, including investing in information technology systems, enhancing the organizational structure, providing guidance and training to employees and further developing detailed policies and procedures.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expect to remediate these material weaknesses in the first half of 2026. However, there may be additional material weaknesses identified that could require additional time and resources to remediate. We remain committed to ensuring that our internal control over financial reporting is designed and operating effectively.</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Although we did not include an attestation report of the independent registered public accounting firm in this Annual Report on Form 10-K, we acknowledge the deficiencies in our internal control over financial reporting and are actively working towards remediation and improvement. We will continue to monitor and evaluate the effectiveness of our internal control over financial reporting to ensure timely and accurate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Attestation Report on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due to the deferral allowed under the Jumpstart Our Business Startups Act of 2012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with respect to the remediation efforts discussed above, there was no change in our internal control over financial reporting that occurred during the year ended December 31, 2025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ectPr>
          <w:pgSz w:w="11900" w:h="16838" w:orient="portrait"/>
          <w:cols w:equalWidth="0" w:num="1">
            <w:col w:w="11240"/>
          </w:cols>
          <w:pgMar w:left="320" w:top="121" w:right="339"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directors and director nominees as of March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54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16"/>
        </w:trPr>
        <w:tc>
          <w:tcPr>
            <w:tcW w:w="2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6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June 1, 2022</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Tyrone Miller</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2660" w:type="dxa"/>
            <w:vAlign w:val="bottom"/>
          </w:tcPr>
          <w:p>
            <w:pPr>
              <w:spacing w:after="0"/>
              <w:rPr>
                <w:sz w:val="18"/>
                <w:szCs w:val="18"/>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4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Commercial Officer</w:t>
            </w:r>
          </w:p>
        </w:tc>
        <w:tc>
          <w:tcPr>
            <w:tcW w:w="2660" w:type="dxa"/>
            <w:vAlign w:val="bottom"/>
            <w:shd w:val="clear" w:color="auto" w:fill="CCEEFF"/>
          </w:tcPr>
          <w:p>
            <w:pPr>
              <w:spacing w:after="0"/>
              <w:rPr>
                <w:sz w:val="18"/>
                <w:szCs w:val="18"/>
                <w:color w:val="auto"/>
              </w:rPr>
            </w:pP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4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11, 2023</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Cheryl Xu</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11, 2023</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45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July 11, 2023</w:t>
            </w:r>
          </w:p>
        </w:tc>
      </w:tr>
      <w:tr>
        <w:trPr>
          <w:trHeight w:val="216"/>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Field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45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c>
          <w:tcPr>
            <w:tcW w:w="2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July 11, 2023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Officers and Directors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Geoffrey Dow </w:t>
      </w:r>
      <w:r>
        <w:rPr>
          <w:rFonts w:ascii="Times New Roman" w:cs="Times New Roman" w:eastAsia="Times New Roman" w:hAnsi="Times New Roman"/>
          <w:sz w:val="18"/>
          <w:szCs w:val="18"/>
          <w:color w:val="auto"/>
        </w:rPr>
        <w:t>is our Chief Executive Officer, President, and is also one of our directors. Dr. Dow has over 20 years of product development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tropical diseases and has an extensive publication and patent history. His decades of hands-on experience include 13 years in key leadership and advisory roles in the antimalarial drug development program at the Walter Reed Army Institute of Research and at the U.S. Army Medical Materiel Development Activity. Dr. Dow co-founded 60P in 2010. Since then, he has been involved in various projects, including leading the project development team in securing FDA-regulatory approval for Tafenoquine (as Arakoda) for malaria prophylaxis, securing a supply chain and access relating to Arakoda, managing post-marketing regulatory commitments, ensuring the successful prosecution of supporting patents on which Dr. Dow was an inventor, and ensuring the company adheres to GMP, quality, and pharmacovigilance requirements. Dr. Dow has also published a number of important safety reviews, clinical trials, non-clinical studies, on which he was a thought leader or contributor, which dispelled many of the myths about 8-aminoquinolines. As a scientist, experienced industry project manager and inventor, Dr. Dow’s ultimate goal is to develop and secure the regulatory approval and commercial success of products, old and new, for new indications in infectious disease. Dr. Dow received a B.Sc. (Hons) in Veterinary and Biomedical Science from Murdoch University, Perth, Western Australia (“Murdoch”) in 1994, a Ph.D. in Veterinary and Biomedical Science from Murdoch in 2000 and an MBA from the University of Maryland at College Park in 2012. We believe that Mr. Dow is well qualified to serve as a Director given his product development experience in tropical diseases.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Tyrone Miller </w:t>
      </w:r>
      <w:r>
        <w:rPr>
          <w:rFonts w:ascii="Times New Roman" w:cs="Times New Roman" w:eastAsia="Times New Roman" w:hAnsi="Times New Roman"/>
          <w:sz w:val="18"/>
          <w:szCs w:val="18"/>
          <w:color w:val="auto"/>
        </w:rPr>
        <w:t>is our Chief Financial Officer. Mr. Miller joined us in 2014 and has held a number of roles since then, including Treasurer. He worked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founder and Chief Executive Officer of 60P and raised over $6 million in external financing. Mr. Miller also established a multinational financial reporting system and worked with consultants in designing tax and credit strategies. He also provides key strategic advice in areas of financing and business planning to 60P. In addition, he is the founder and Principal of Tax &amp; Accounting Practice at Miller Tax &amp; Advisory since 2011. In that role, Mr. Miller advises owners of closely held businesses on accounting, financial and tax matters and has designed accounting systems for private sector businesses. From 2002 to 2011, he was a Senior Accountant at Sachs Figurelli, LLC, where he prepared and processed corporate and individual tax returns, consulted on reengineering accounting processes for construction, restaurant and professional services businesses and managed staff in preparation and processing of payroll and personal property returns. Mr. Miller is currently a Certified Public Accountant. He received a Bachelor’s of Business Administration with a concentration in International Business from Emory University in 1996.</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Kristen Landon </w:t>
      </w:r>
      <w:r>
        <w:rPr>
          <w:rFonts w:ascii="Times New Roman" w:cs="Times New Roman" w:eastAsia="Times New Roman" w:hAnsi="Times New Roman"/>
          <w:sz w:val="18"/>
          <w:szCs w:val="18"/>
          <w:color w:val="auto"/>
        </w:rPr>
        <w:t>is our Chief Commercial Officer. Ms. Landon joined us in 2024 and brings over 26 years’ experience building and transforming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brands in both start-up and large multinational companies. Ms. Landon has launched and relaunched over a dozen brands, many with peak revenues in excess of $100 million across therapeutic categories including women’s health, infectious disease, dermatology, nephrology, and hematology/oncology. Most recently, Ms. Landon served as Senior Vice President of Marketing and Communications at TherapeuticsMD with responsibility for the branded portfolio, marketing insights, and corporate communications. Prior commercial leadership roles include VP Marketing at Radius Health, VP Marketing at Sprout Pharmaceuticals (acquired by Valeant), Executive Director Women’s Health at Actavis Plc, and positions of increasing responsibility in sales and marketing at Forest Labs, Abbott Labs, and Novartis. Ms. Landon holds an MBA from Silberman College of Business at Fairleigh Dickinson University, and a Bachelor’s degree from Kean University.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Charles Allen </w:t>
      </w:r>
      <w:r>
        <w:rPr>
          <w:rFonts w:ascii="Times New Roman" w:cs="Times New Roman" w:eastAsia="Times New Roman" w:hAnsi="Times New Roman"/>
          <w:sz w:val="18"/>
          <w:szCs w:val="18"/>
          <w:color w:val="auto"/>
        </w:rPr>
        <w:t>is one of our directors since July 11, 2023 and since February 5, 2014 has served as the Chief Executive Officer of BTCS Inc. (“BTCS”)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of the Board of BTCS since September 11, 2014. Mr. Allen is responsible for BTCS’ overall corporate strategy and direction. Since December 2, 2022, Mr. Allen has been a director of Innovation1 Biotech Inc. Since January 12, 2018, Mr. Allen has been the Chief Executive Officer of Global Bit Ventures Inc. (“GBV”). Since October 10, 2017, Mr. Allen has been a director of GBV. Mr. Allen has extensive experience in business strategy and structuring and executing a variety of investment banking and capital markets transactions, including financings, initial public offerings, and mergers and acquisitions. Prior to his work in the blockchain industry at BTCS, he worked domestically and internationally on projects in technology, media, natural resources, logistics, medical services, and financial services. He has served as a managing director at numerous boutique investment banks focused on advising and raising capital for small and mid-size companies. Mr. Allen received a Bachelor of Science in Mechanical Engineering from Lehigh University and a Master of Business Administration from the Mason School of Business at the College of William &amp; Mary. The Board concluded that Mr. Allen’s background and leadership experiences in the financial industry qualify him to be a member of the Board.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Cheryl Xu </w:t>
      </w:r>
      <w:r>
        <w:rPr>
          <w:rFonts w:ascii="Times New Roman" w:cs="Times New Roman" w:eastAsia="Times New Roman" w:hAnsi="Times New Roman"/>
          <w:sz w:val="18"/>
          <w:szCs w:val="18"/>
          <w:color w:val="auto"/>
        </w:rPr>
        <w:t>is one of our directors since July 11, 2023 and until recently served as Biogen’s Vice President, Public Policy &amp; Government Affairs since 2020.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Xu was PhRMA’s first Representative to China. Subsequently she started a consulting business in 2005, advising well-known multinational companies such as Pfizer, J&amp;J and UnitedHealth Group on their market access and expansion strategies in China. Cheryl has provided consultations to both the U.S. and Chinese governments on pharmaceutical policies including strengthening of IP protection and monitoring system for China’s API exports. Prior to that, she was the Director of International Finance at Pharmacia based in New Jersey from 1998 to 2003. Ms. Xu received her Bachelor of Science degree in Physics from Peking University, and Master of Business Administration in Finance from Washington University in St. Louis. The Board concluded that Ms. Xu’s background and leadership experiences in the pharmaceutical industry qualify her to be a member of the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Stephen Toovey </w:t>
      </w:r>
      <w:r>
        <w:rPr>
          <w:rFonts w:ascii="Times New Roman" w:cs="Times New Roman" w:eastAsia="Times New Roman" w:hAnsi="Times New Roman"/>
          <w:sz w:val="18"/>
          <w:szCs w:val="18"/>
          <w:color w:val="auto"/>
        </w:rPr>
        <w:t>is one of our directors since July 11, 2023 and is an infectious and tropical disease physician. Dr. Toovey has worked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 industry and academia in both developed and developing countries, and currently specializes in the research of influenza and other respiratory viruses, malaria, rabies and the neurological aspects of infectious diseases. He is currently the Chief Executive Officer of Pegasus, a medical and scientific services company and has held that position since 2008. Dr. Toovey also advises a number of pharmaceutical companies and biotech organizations on infection and immunology related matters, from translation through Phase IV, and founded numerous pharmaceutical and pharma-related companies, with the most recent being the co-founding of Ark Biosciences in 2014. Dr. Toovey served as Chief Medical Officer of Ark Biosciences from 2014 until 2020. In addition, he held a teaching and clinical post at the Royal Free and University College Medical School in London, United Kingdom,</w:t>
      </w:r>
    </w:p>
    <w:p>
      <w:pPr>
        <w:sectPr>
          <w:pgSz w:w="11900" w:h="16838" w:orient="portrait"/>
          <w:cols w:equalWidth="0" w:num="1">
            <w:col w:w="11240"/>
          </w:cols>
          <w:pgMar w:left="320" w:top="337" w:right="339" w:bottom="0" w:gutter="0" w:footer="0" w:header="0"/>
        </w:sectPr>
      </w:pPr>
    </w:p>
    <w:bookmarkStart w:id="60" w:name="page61"/>
    <w:bookmarkEnd w:id="60"/>
    <w:p>
      <w:pPr>
        <w:jc w:val="both"/>
        <w:spacing w:after="0" w:line="258" w:lineRule="auto"/>
        <w:rPr>
          <w:sz w:val="20"/>
          <w:szCs w:val="20"/>
          <w:color w:val="auto"/>
        </w:rPr>
      </w:pPr>
      <w:r>
        <w:rPr>
          <w:rFonts w:ascii="Times New Roman" w:cs="Times New Roman" w:eastAsia="Times New Roman" w:hAnsi="Times New Roman"/>
          <w:sz w:val="18"/>
          <w:szCs w:val="18"/>
          <w:color w:val="auto"/>
        </w:rPr>
        <w:t>Academic Centre for Travel Medicine and Vaccines, World Health Organization Collaborating Center, appointed in 2008. He has been editor of the journal Travel Medicine and Infectious Disease since its foundation in 2003. Dr. Toovey has authored over 100 publications in peer reviewed medical journals, contributed to a number of textbooks and has presented at over 50 scientific meetings. Dr. Toovey received his PhD from the University of Ghent. The Board concluded that Dr. Toovey’s background and leadership experiences in the pharmaceutical industry and academia qualify him to be a member of the Board.</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 Field </w:t>
      </w:r>
      <w:r>
        <w:rPr>
          <w:rFonts w:ascii="Times New Roman" w:cs="Times New Roman" w:eastAsia="Times New Roman" w:hAnsi="Times New Roman"/>
          <w:sz w:val="18"/>
          <w:szCs w:val="18"/>
          <w:color w:val="auto"/>
        </w:rPr>
        <w:t>is one of our directors since July 11, 2023. Paul has over 30 years of business development experience across a range of disease areas, and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network in the global biopharmaceutical industry. He is currently a corporate advisor at Imunexus since 2020, Marinova since 2018, and GARDP (Switzerland) since 2018. He was until recently the Australian representative of FIND (Switzerland) from 2018 to 2021 and a business development advisor to the drug discovery company Biocurate from 2018 to 2020. Paul was previously the life sciences specialist at Austrade from 2014 to 2018, the Australian Government’s investment promotion agency, where he facilitated foreign direct investment into Australian research in neglected tropical diseases, infectious diseases, autoimmune diseases, cancer and other therapeutic areas. Paul was the founder and Executive Chairman of Bio-Link from 2005 to 2014, a privately owned biotechnology business development company. His work at Bio-Link involved the commercialization of discovery, pre-clinical and early-stage clinical programs undertaken by Australian biotech companies and medical research institutions. Paul has served on a number of Boards of Directors, and he is a Fellow of the Australian Institute of Company Directors. The Board concluded that Mr. Field’s background and leadership experiences in the biotechnology industry qualify him to be a member of the Board.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Significant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virtually managed pharmaceutical company for which the significant employees are its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Code of Ethics</w:t>
      </w:r>
    </w:p>
    <w:p>
      <w:pPr>
        <w:spacing w:after="0" w:line="229"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Our Board has adopted a written code of business conduct and ethics (“Code”) that applies to our directors, officers and employees, including our principal executive officer, principal financial officer and principal accounting officer or controller, or persons performing similar functions. We intend to post on our website a current copy of the Code and all disclosures that are required by law in regard to any amendments to, or waivers from, any provision of the Code.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Leadership Structure and Risk Oversight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consists of five members. Our business and affairs are managed under the direction of our Board.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serve until the next annual meeting and until their successors are elected and qualified. Officers are appointed to serve until their successors have been elected and qualified.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 Independence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is composed of a majority of “independent directors” as defined under the rules of Nasdaq. We use the definition of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applied by Nasdaq to make this determination. Nasdaq Listing Rule 5605(a)(2) provides that an “</w:t>
      </w:r>
      <w:r>
        <w:rPr>
          <w:rFonts w:ascii="Times New Roman" w:cs="Times New Roman" w:eastAsia="Times New Roman" w:hAnsi="Times New Roman"/>
          <w:sz w:val="18"/>
          <w:szCs w:val="18"/>
          <w:i w:val="1"/>
          <w:iCs w:val="1"/>
          <w:color w:val="auto"/>
        </w:rPr>
        <w:t>independent director</w:t>
      </w:r>
      <w:r>
        <w:rPr>
          <w:rFonts w:ascii="Times New Roman" w:cs="Times New Roman" w:eastAsia="Times New Roman" w:hAnsi="Times New Roman"/>
          <w:sz w:val="18"/>
          <w:szCs w:val="18"/>
          <w:color w:val="auto"/>
        </w:rPr>
        <w:t>” is a person other than an officer or employee of the company or any other individual having a relationship which, in the opinion of the Board, would interfere with the exercise of independent judgment in carrying out the responsibilities of a director. The Nasdaq listing rules provide that a director cannot be considered independent if:</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director is, or at any time during the past three (3) years was, an employee of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director or a family member of the director accepted any compensation from the company in excess of $120,000 during any period of twelve</w:t>
      </w:r>
    </w:p>
    <w:p>
      <w:pPr>
        <w:spacing w:after="0" w:line="27" w:lineRule="exact"/>
        <w:rPr>
          <w:sz w:val="20"/>
          <w:szCs w:val="20"/>
          <w:color w:val="auto"/>
        </w:rPr>
      </w:pPr>
    </w:p>
    <w:p>
      <w:pPr>
        <w:ind w:left="660" w:hanging="4"/>
        <w:spacing w:after="0" w:line="260" w:lineRule="auto"/>
        <w:tabs>
          <w:tab w:leader="none" w:pos="1023"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months within the three (3) years preceding the independence determination (subject to certain exemptions, including, among other things, compensation for board or board committee service);</w:t>
      </w:r>
    </w:p>
    <w:p>
      <w:pPr>
        <w:spacing w:after="0" w:line="181" w:lineRule="exact"/>
        <w:rPr>
          <w:rFonts w:ascii="Times New Roman" w:cs="Times New Roman" w:eastAsia="Times New Roman" w:hAnsi="Times New Roman"/>
          <w:sz w:val="18"/>
          <w:szCs w:val="18"/>
          <w:color w:val="auto"/>
        </w:rPr>
      </w:pPr>
    </w:p>
    <w:p>
      <w:pPr>
        <w:ind w:left="660" w:firstLine="57"/>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family member of the director is a partner in, controlling shareholder of, or an executive officer of an entity to which the company made, or from which the company received, payments in the current or any of the past three fiscal years that exceed 5% of the recipient’s consolidated gross revenue for that year or $200,000, whichever is greater (subject to certain exemptions);</w:t>
      </w:r>
    </w:p>
    <w:p>
      <w:pPr>
        <w:spacing w:after="0" w:line="175" w:lineRule="exact"/>
        <w:rPr>
          <w:rFonts w:ascii="Times New Roman" w:cs="Times New Roman" w:eastAsia="Times New Roman" w:hAnsi="Times New Roman"/>
          <w:sz w:val="18"/>
          <w:szCs w:val="18"/>
          <w:color w:val="auto"/>
        </w:rPr>
      </w:pPr>
    </w:p>
    <w:p>
      <w:pPr>
        <w:ind w:left="660" w:firstLine="5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family member of the director is employed as an executive officer of an entity where, at any time during the past three (3) years, any of the executive officers of the company served on the compensation committee of such other entity; or</w:t>
      </w:r>
    </w:p>
    <w:p>
      <w:pPr>
        <w:spacing w:after="0" w:line="161" w:lineRule="exact"/>
        <w:rPr>
          <w:rFonts w:ascii="Times New Roman" w:cs="Times New Roman" w:eastAsia="Times New Roman" w:hAnsi="Times New Roman"/>
          <w:sz w:val="18"/>
          <w:szCs w:val="18"/>
          <w:color w:val="auto"/>
        </w:rPr>
      </w:pPr>
    </w:p>
    <w:p>
      <w:pPr>
        <w:ind w:left="660" w:right="20" w:firstLine="5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or a family member of the director is a current partner of the company’s outside auditor, or at any time during the past three (3) years was a partner or employee of the company’s outside auditor, and who worked on the company’s audit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such definitions, our Board has undertaken a review of the independence of each director and director nominee. Based on information provided by each director concerning his or her background, employment and affiliations, our Board has determined that Charles Allen, Stephen Toovey and Paul Field, are independent directors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Committees of the Board of Directors</w:t>
      </w:r>
    </w:p>
    <w:p>
      <w:pPr>
        <w:sectPr>
          <w:pgSz w:w="11900" w:h="16838" w:orient="portrait"/>
          <w:cols w:equalWidth="0" w:num="1">
            <w:col w:w="11240"/>
          </w:cols>
          <w:pgMar w:left="320" w:top="121" w:right="339" w:bottom="0" w:gutter="0" w:footer="0" w:header="0"/>
        </w:sectPr>
      </w:pPr>
    </w:p>
    <w:bookmarkStart w:id="61" w:name="page62"/>
    <w:bookmarkEnd w:id="61"/>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three standing committees: (i) an audit committee (the “Audit Committee”); (ii) a compensation committee (the “Compensation Committee”); and (iii) a nominating and corporate governance committee (the “Nominating and Corporate Governance Committee”). Our Board has not yet adopted procedures by which stockholders may recommend nominees to the Board. The composition and responsibilities of each of the committees of our Board are described below. Members serve on these committees until their resignation or until as otherwise determined by our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Audit Committee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the Audit Committee consisting of Charles Allen, who is the Chairman of the Audit Committee, Stephen Toovey and Paul Field. Charles Allen qualifies as an audit committee financial expert within the meaning of Item 407(d) of Regulation S-K under the Securities Act. Our Board adopted an Audit Committee Charter on March 16, 2023, of which was deemed effective as of July 11, 2023. The Audit Committee’s duties, which are specified in our Audit Committee Charter, include, but are not limited to:</w:t>
      </w:r>
    </w:p>
    <w:p>
      <w:pPr>
        <w:spacing w:after="0" w:line="180"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reviewing and discussing with management and the independent auditor the annual audited financial statements, and recommending to the board whether the audited financial statements should be included in our annual disclosure report;</w:t>
      </w:r>
    </w:p>
    <w:p>
      <w:pPr>
        <w:spacing w:after="0" w:line="161"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discussing with management and the independent auditor significant financial reporting issues and judgments made in connection with the preparation of our financial statements;</w:t>
      </w:r>
    </w:p>
    <w:p>
      <w:pPr>
        <w:spacing w:after="0" w:line="161" w:lineRule="exact"/>
        <w:rPr>
          <w:sz w:val="20"/>
          <w:szCs w:val="20"/>
          <w:color w:val="auto"/>
        </w:rPr>
      </w:pPr>
    </w:p>
    <w:p>
      <w:pPr>
        <w:ind w:left="720" w:right="4580"/>
        <w:spacing w:after="0" w:line="500" w:lineRule="auto"/>
        <w:rPr>
          <w:sz w:val="20"/>
          <w:szCs w:val="20"/>
          <w:color w:val="auto"/>
        </w:rPr>
      </w:pPr>
      <w:r>
        <w:rPr>
          <w:rFonts w:ascii="Times New Roman" w:cs="Times New Roman" w:eastAsia="Times New Roman" w:hAnsi="Times New Roman"/>
          <w:sz w:val="18"/>
          <w:szCs w:val="18"/>
          <w:color w:val="auto"/>
        </w:rPr>
        <w:t>discussing with management major risk assessment and risk management policies; monitoring the independence of the independent auditor;</w:t>
      </w:r>
    </w:p>
    <w:p>
      <w:pPr>
        <w:spacing w:after="0" w:line="1"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reviewing and approving all related-party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225"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pre-approving all audit services and permitted non-audit services to be performed by our independent auditor, including the fees and terms of the services to be performed;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appointing or replacing the independent auditor;</w:t>
      </w:r>
    </w:p>
    <w:p>
      <w:pPr>
        <w:spacing w:after="0" w:line="225"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determining the compensation and oversight of the work of the independent auditor (including resolution of disagreements between management and the independent auditor regarding financial reporting) for the purpose of preparing or issuing an audit report or related work;</w:t>
      </w:r>
    </w:p>
    <w:p>
      <w:pPr>
        <w:spacing w:after="0" w:line="161"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 and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approving reimbursement of expenses incurred by our management team in identifying potential target businesses.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composed exclusively of “independent directors” who are “financially literate” as defined under the Nasdaq listing standards. The Nasdaq listing standards define “financially literate” as being able to read and understand fundamental financial statements, including a company’s balance sheet, income statement and cash flow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Compensation Committee, which is composed exclusively of independent directors consisting of Paul Field, who is the Chairman of the Compensation Committee, Charles Allen and Stephen Toovey. Each member of the Compensation Committee is a non-employee director, as defined under Rule 16b-3 promulgated under the Exchange Act, and an outside director, as defined pursuant to Section 162(m) of the Code. Our Board adopted a Compensation Committee Charter on March 16, 2023, which was deemed effective as of July 11, 2023. The Compensation Committee’s duties, which are specified in our Compensation Committee Charter, include, but are not limited to:</w:t>
      </w:r>
    </w:p>
    <w:p>
      <w:pPr>
        <w:spacing w:after="0" w:line="183" w:lineRule="exact"/>
        <w:rPr>
          <w:sz w:val="20"/>
          <w:szCs w:val="20"/>
          <w:color w:val="auto"/>
        </w:rPr>
      </w:pPr>
    </w:p>
    <w:p>
      <w:pPr>
        <w:ind w:left="720" w:right="1160"/>
        <w:spacing w:after="0" w:line="500" w:lineRule="auto"/>
        <w:rPr>
          <w:sz w:val="20"/>
          <w:szCs w:val="20"/>
          <w:color w:val="auto"/>
        </w:rPr>
      </w:pPr>
      <w:r>
        <w:rPr>
          <w:rFonts w:ascii="Times New Roman" w:cs="Times New Roman" w:eastAsia="Times New Roman" w:hAnsi="Times New Roman"/>
          <w:sz w:val="18"/>
          <w:szCs w:val="18"/>
          <w:color w:val="auto"/>
        </w:rPr>
        <w:t>reviews, approves and determines, or makes recommendations to our Board regarding the compensation of our executive officers; administers our equity compensation plans;</w:t>
      </w:r>
    </w:p>
    <w:p>
      <w:pPr>
        <w:spacing w:after="0" w:line="1" w:lineRule="exact"/>
        <w:rPr>
          <w:sz w:val="20"/>
          <w:szCs w:val="20"/>
          <w:color w:val="auto"/>
        </w:rPr>
      </w:pPr>
    </w:p>
    <w:p>
      <w:pPr>
        <w:ind w:left="720" w:right="800"/>
        <w:spacing w:after="0" w:line="498" w:lineRule="auto"/>
        <w:rPr>
          <w:sz w:val="20"/>
          <w:szCs w:val="20"/>
          <w:color w:val="auto"/>
        </w:rPr>
      </w:pPr>
      <w:r>
        <w:rPr>
          <w:rFonts w:ascii="Times New Roman" w:cs="Times New Roman" w:eastAsia="Times New Roman" w:hAnsi="Times New Roman"/>
          <w:sz w:val="18"/>
          <w:szCs w:val="18"/>
          <w:color w:val="auto"/>
        </w:rPr>
        <w:t>reviews and approves, or makes recommendations to our Board, regarding incentive compensation and equity compensation plans; and establishes and reviews general policies relating to compensation and benefits of our employees.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Nominating and Corporate Governance Committee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the Nominating and Corporate Governance Committee, which is composed exclusively of independent directors consisting of Stephen Toovey, who is the Chairman of the Nominating and Corporate Governance Committee, Charles Allen and Paul Field. Our Board adopted a Nominating and Corporate Governance Committee Charter on March 16, 2023, of which was deemed effective as of July 11, 2023. The Nominating and Corporate Governance Committee’s duties, which are specified in our Nominating and Corporate Governance Audit Committee Charter, include, but are not limited to:</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identifying, reviewing and evaluating candidates to serve on our Board consistent with criteria approved by our Board;</w:t>
      </w:r>
    </w:p>
    <w:p>
      <w:pPr>
        <w:sectPr>
          <w:pgSz w:w="11900" w:h="16838" w:orient="portrait"/>
          <w:cols w:equalWidth="0" w:num="1">
            <w:col w:w="11240"/>
          </w:cols>
          <w:pgMar w:left="320" w:top="337" w:right="339" w:bottom="0" w:gutter="0" w:footer="0" w:header="0"/>
        </w:sectPr>
      </w:pPr>
    </w:p>
    <w:bookmarkStart w:id="62" w:name="page63"/>
    <w:bookmarkEnd w:id="62"/>
    <w:p>
      <w:pPr>
        <w:spacing w:after="0" w:line="62"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evaluating director performance on our Board and applicable committees of our Board and determining whether continued service on our Board is appropriate; and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corporate governance matters.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Involvement in Certain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disclosed below, to our knowledge, none of our current directors or executive officers has, during the past ten (10) years: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been convicted in a criminal proceeding or been subject to a pending criminal proceeding (excluding traffic violations and other minor offenses);</w:t>
      </w:r>
    </w:p>
    <w:p>
      <w:pPr>
        <w:spacing w:after="0" w:line="225"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had any bankruptcy petition filed by or against the business or property of the person, or of any partnership, corporation or business association of which he was a general partner or executive officer, either at the time of the bankruptcy filing or within two (2) years prior to that time;</w:t>
      </w:r>
    </w:p>
    <w:p>
      <w:pPr>
        <w:spacing w:after="0" w:line="161" w:lineRule="exact"/>
        <w:rPr>
          <w:sz w:val="20"/>
          <w:szCs w:val="20"/>
          <w:color w:val="auto"/>
        </w:rPr>
      </w:pPr>
    </w:p>
    <w:p>
      <w:pPr>
        <w:ind w:left="660" w:firstLine="57"/>
        <w:spacing w:after="0" w:line="261" w:lineRule="auto"/>
        <w:rPr>
          <w:sz w:val="20"/>
          <w:szCs w:val="20"/>
          <w:color w:val="auto"/>
        </w:rPr>
      </w:pPr>
      <w:r>
        <w:rPr>
          <w:rFonts w:ascii="Times New Roman" w:cs="Times New Roman" w:eastAsia="Times New Roman" w:hAnsi="Times New Roman"/>
          <w:sz w:val="18"/>
          <w:szCs w:val="18"/>
          <w:color w:val="auto"/>
        </w:rPr>
        <w:t>been subject to any order, judgment, or decree, not subsequently reversed, suspended or vacated, of any court of competent jurisdiction or federal or state authority, permanently or temporarily enjoining, barring, suspending or otherwise limiting, his or her involvement in any type of business, securities, futures, commodities, investment, banking, savings and loan, or insurance activities, or to be associated with persons engaged in any such activity;</w:t>
      </w:r>
    </w:p>
    <w:p>
      <w:pPr>
        <w:spacing w:after="0" w:line="179"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been found by a court of competent jurisdiction in a civil action or by the SEC or the Commodity Futures Trading Commission to have violated a federal or state securities or commodities law, and the judgment has not been reversed, suspended, or vacated;</w:t>
      </w:r>
    </w:p>
    <w:p>
      <w:pPr>
        <w:spacing w:after="0" w:line="161" w:lineRule="exact"/>
        <w:rPr>
          <w:sz w:val="20"/>
          <w:szCs w:val="20"/>
          <w:color w:val="auto"/>
        </w:rPr>
      </w:pPr>
    </w:p>
    <w:p>
      <w:pPr>
        <w:ind w:left="660" w:firstLine="57"/>
        <w:spacing w:after="0" w:line="256" w:lineRule="auto"/>
        <w:rPr>
          <w:sz w:val="20"/>
          <w:szCs w:val="20"/>
          <w:color w:val="auto"/>
        </w:rPr>
      </w:pPr>
      <w:r>
        <w:rPr>
          <w:rFonts w:ascii="Times New Roman" w:cs="Times New Roman" w:eastAsia="Times New Roman" w:hAnsi="Times New Roman"/>
          <w:sz w:val="18"/>
          <w:szCs w:val="18"/>
          <w:color w:val="auto"/>
        </w:rPr>
        <w:t>been the subject of, or a party to, any federal or state judicial or administrative order, judgment, decree, or finding, not subsequently reversed, suspended or vacated (not including any settlement of a civil proceeding among private litigants), relating to an alleged violation of any federal or state securities or commodities law or regulation, 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 any law or regulation prohibiting mail or wire fraud or fraud in connection with any business entity; or</w:t>
      </w:r>
    </w:p>
    <w:p>
      <w:pPr>
        <w:spacing w:after="0" w:line="187" w:lineRule="exact"/>
        <w:rPr>
          <w:sz w:val="20"/>
          <w:szCs w:val="20"/>
          <w:color w:val="auto"/>
        </w:rPr>
      </w:pPr>
    </w:p>
    <w:p>
      <w:pPr>
        <w:ind w:left="660" w:firstLine="57"/>
        <w:spacing w:after="0" w:line="266" w:lineRule="auto"/>
        <w:rPr>
          <w:sz w:val="20"/>
          <w:szCs w:val="20"/>
          <w:color w:val="auto"/>
        </w:rPr>
      </w:pPr>
      <w:r>
        <w:rPr>
          <w:rFonts w:ascii="Times New Roman" w:cs="Times New Roman" w:eastAsia="Times New Roman" w:hAnsi="Times New Roman"/>
          <w:sz w:val="18"/>
          <w:szCs w:val="18"/>
          <w:color w:val="auto"/>
        </w:rPr>
        <w:t>been the subject of,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Meetings of the Board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our fiscal year ended December 31, 2025, the Board met from time to time informally and acted by written consent on numerous occasions.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and Limitation on Liability of Directors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as corrected, limits the liability of our directors to the fullest extent permitted by Delaware law. Nothing contained in the provisions will be construed to deprive any director of his or her right to all defenses ordinarily available to the director, nor will anything herein be construed to deprive any director of any right he or she may have for contribution from any other director or other person.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present, there is no pending litigation or proceeding involving any of our directors, officers, employees or agents where indemnification will be required or permitted.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Diversity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seek diversity in experience, viewpoint, education, skill and other individual qualities and attributes to be represented on our Board. We believe directors should have various qualifications, including individual character and integrity, business experience, leadership ability, strategic planning skills, ability and experience, requisite knowledge of our industry and finance, accounting and legal matters, communications and interpersonal skills and the ability and willingness to devote time to our Company. We also believe the skill sets, backgrounds and qualifications of our directors, taken as a whole, should provide a significant mix of diversity in personal and professional experience, background, viewpoints, perspectives, knowledge and abilities. Nominees are not to be discriminated against on the basis of race, religion, national origin, sex, sexual orientation, disability or any other basis proscribed by law. The assessment of prospective directors is made in the context of the perceived needs of our Board from time to time.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seeks members from diverse professional backgrounds who combine a solid professional reputation and knowledge of our business and industry with a reputation for integrity. Our Board does not have a formal policy concerning diversity and inclusion but is in the process of establishing a policy on diversity. Diversity of experience, expertise and viewpoints is one of many factors the Nominating and Corporate Governance Committee considers when recommending director nominees to our Board. Further, our Board is committed to actively seeking highly qualified women and individuals from minority groups and the LGBTQ+ community to include in the pool from which new candidates are selected. Our Board also seeks members that have experience in positions with a high degree of responsibility or are, or have been, leaders in the companies or institutions with which they are, or were, affiliated, but may seek other members with different backgrounds, based upon the contributions they can make to our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47" w:lineRule="exact"/>
        <w:rPr>
          <w:sz w:val="20"/>
          <w:szCs w:val="20"/>
          <w:color w:val="auto"/>
        </w:rPr>
      </w:pPr>
    </w:p>
    <w:tbl>
      <w:tblPr>
        <w:tblLayout w:type="fixed"/>
        <w:tblInd w:w="3800" w:type="dxa"/>
        <w:tblCellMar>
          <w:top w:w="0" w:type="dxa"/>
          <w:left w:w="0" w:type="dxa"/>
          <w:bottom w:w="0" w:type="dxa"/>
          <w:right w:w="0" w:type="dxa"/>
        </w:tblCellMar>
      </w:tblPr>
      <w:tr>
        <w:trPr>
          <w:trHeight w:val="236"/>
        </w:trPr>
        <w:tc>
          <w:tcPr>
            <w:tcW w:w="3740" w:type="dxa"/>
            <w:vAlign w:val="bottom"/>
            <w:tcBorders>
              <w:right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0" w:type="dxa"/>
            <w:vAlign w:val="bottom"/>
          </w:tcPr>
          <w:p>
            <w:pPr>
              <w:spacing w:after="0"/>
              <w:rPr>
                <w:sz w:val="20"/>
                <w:szCs w:val="20"/>
                <w:color w:val="auto"/>
              </w:rPr>
            </w:pPr>
          </w:p>
        </w:tc>
        <w:tc>
          <w:tcPr>
            <w:tcW w:w="35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r>
      <w:tr>
        <w:trPr>
          <w:trHeight w:val="76"/>
        </w:trPr>
        <w:tc>
          <w:tcPr>
            <w:tcW w:w="3560" w:type="dxa"/>
            <w:vAlign w:val="bottom"/>
            <w:tcBorders>
              <w:top w:val="single" w:sz="8" w:color="auto"/>
            </w:tcBorders>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3560" w:type="dxa"/>
            <w:vAlign w:val="bottom"/>
            <w:tcBorders>
              <w:top w:val="single" w:sz="8" w:color="auto"/>
            </w:tcBorders>
          </w:tcPr>
          <w:p>
            <w:pPr>
              <w:spacing w:after="0"/>
              <w:rPr>
                <w:sz w:val="6"/>
                <w:szCs w:val="6"/>
                <w:color w:val="auto"/>
              </w:rPr>
            </w:pPr>
          </w:p>
        </w:tc>
      </w:tr>
    </w:tbl>
    <w:p>
      <w:pPr>
        <w:sectPr>
          <w:pgSz w:w="11900" w:h="16900" w:orient="portrait"/>
          <w:cols w:equalWidth="0" w:num="1">
            <w:col w:w="11240"/>
          </w:cols>
          <w:pgMar w:left="320" w:top="121" w:right="339" w:bottom="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5</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94"/>
        </w:trPr>
        <w:tc>
          <w:tcPr>
            <w:tcW w:w="36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Did Not</w:t>
            </w:r>
          </w:p>
        </w:tc>
        <w:tc>
          <w:tcPr>
            <w:tcW w:w="18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16"/>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96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Disclose</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45"/>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7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80" w:type="dxa"/>
            <w:vAlign w:val="bottom"/>
          </w:tcPr>
          <w:p>
            <w:pPr>
              <w:spacing w:after="0"/>
              <w:rPr>
                <w:sz w:val="21"/>
                <w:szCs w:val="21"/>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960" w:type="dxa"/>
            <w:vAlign w:val="bottom"/>
            <w:tcBorders>
              <w:right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Gender</w:t>
            </w:r>
          </w:p>
        </w:tc>
        <w:tc>
          <w:tcPr>
            <w:tcW w:w="140" w:type="dxa"/>
            <w:vAlign w:val="bottom"/>
          </w:tcPr>
          <w:p>
            <w:pPr>
              <w:spacing w:after="0"/>
              <w:rPr>
                <w:sz w:val="21"/>
                <w:szCs w:val="2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160" w:type="dxa"/>
            <w:vAlign w:val="bottom"/>
          </w:tcPr>
          <w:p>
            <w:pPr>
              <w:spacing w:after="0"/>
              <w:rPr>
                <w:sz w:val="21"/>
                <w:szCs w:val="21"/>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16"/>
        </w:trPr>
        <w:tc>
          <w:tcPr>
            <w:tcW w:w="3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Hispanic or Latino</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White</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LGBTQ+</w:t>
            </w: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4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right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32"/>
        </w:trPr>
        <w:tc>
          <w:tcPr>
            <w:tcW w:w="3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adopted an insider trading policy that governs the purchase, sale, and/or other transactions of our securities by our directors, officers, employees and other covered persons. A copy of our insider trading policy is filed as Exhibit 19.1 to this Annual Report on Form 10-K for the fiscal year ended December 31, 2025. In addition, with regard to the Company’s trading in its own securities, it is our policy to comply with applicable federal securities laws.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summarizes compensation for the years ended December 31, 2025, 2024, and 2023 for all individuals serving as our principal executive officer or acting in a similar capacity during the last completed fiscal year (“PEO”), regardless of compensation level, two most highly compensated executive officers other than the PEO who were serving as executive officers at the end of the last completed fiscal year, and up to two additional individuals for whom disclosure would have been provided pursuant to paragraph (m)(2)(ii) of Item 402 of Regulation S-K but for the fact that the individual was not serving as an executive officer of the smaller reporting company at the end of the last completed fiscal year (each a “Named Executive Officer”).</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40" w:type="dxa"/>
            <w:vAlign w:val="bottom"/>
            <w:gridSpan w:val="8"/>
          </w:tcPr>
          <w:p>
            <w:pPr>
              <w:ind w:left="58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Base Salary</w:t>
            </w: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Cash Bonus</w:t>
            </w: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Stock Bonus</w:t>
            </w:r>
          </w:p>
        </w:tc>
        <w:tc>
          <w:tcPr>
            <w:tcW w:w="80" w:type="dxa"/>
            <w:vAlign w:val="bottom"/>
          </w:tcPr>
          <w:p>
            <w:pPr>
              <w:spacing w:after="0"/>
              <w:rPr>
                <w:sz w:val="24"/>
                <w:szCs w:val="24"/>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77"/>
        </w:trPr>
        <w:tc>
          <w:tcPr>
            <w:tcW w:w="368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350"/>
              <w:spacing w:after="0" w:line="270" w:lineRule="exact"/>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24"/>
                <w:szCs w:val="24"/>
                <w:b w:val="1"/>
                <w:bCs w:val="1"/>
                <w:color w:val="auto"/>
                <w:vertAlign w:val="superscript"/>
              </w:rPr>
              <w:t>(1)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ind w:right="352"/>
              <w:spacing w:after="0" w:line="269" w:lineRule="exact"/>
              <w:rPr>
                <w:sz w:val="20"/>
                <w:szCs w:val="20"/>
                <w:color w:val="auto"/>
              </w:rPr>
            </w:pPr>
            <w:r>
              <w:rPr>
                <w:rFonts w:ascii="Times New Roman" w:cs="Times New Roman" w:eastAsia="Times New Roman" w:hAnsi="Times New Roman"/>
                <w:sz w:val="31"/>
                <w:szCs w:val="31"/>
                <w:b w:val="1"/>
                <w:bCs w:val="1"/>
                <w:color w:val="auto"/>
                <w:vertAlign w:val="subscript"/>
              </w:rPr>
              <w:t>($)</w:t>
            </w:r>
            <w:r>
              <w:rPr>
                <w:rFonts w:ascii="Times New Roman" w:cs="Times New Roman" w:eastAsia="Times New Roman" w:hAnsi="Times New Roman"/>
                <w:sz w:val="14"/>
                <w:szCs w:val="14"/>
                <w:b w:val="1"/>
                <w:bCs w:val="1"/>
                <w:color w:val="auto"/>
              </w:rPr>
              <w:t>(2)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477,750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$ 727,750</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24,175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51,250</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323,425</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125,555</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125,555</w:t>
            </w:r>
          </w:p>
        </w:tc>
      </w:tr>
      <w:tr>
        <w:trPr>
          <w:trHeight w:val="198"/>
        </w:trPr>
        <w:tc>
          <w:tcPr>
            <w:tcW w:w="3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Tyrone Miller</w:t>
            </w:r>
          </w:p>
        </w:tc>
        <w:tc>
          <w:tcPr>
            <w:tcW w:w="160" w:type="dxa"/>
            <w:vAlign w:val="bottom"/>
          </w:tcPr>
          <w:p>
            <w:pPr>
              <w:spacing w:after="0"/>
              <w:rPr>
                <w:sz w:val="17"/>
                <w:szCs w:val="17"/>
                <w:color w:val="auto"/>
              </w:rPr>
            </w:pPr>
          </w:p>
        </w:tc>
        <w:tc>
          <w:tcPr>
            <w:tcW w:w="98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215,000</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gridSpan w:val="2"/>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line="198" w:lineRule="exact"/>
              <w:rPr>
                <w:sz w:val="20"/>
                <w:szCs w:val="20"/>
                <w:color w:val="auto"/>
              </w:rPr>
            </w:pPr>
            <w:r>
              <w:rPr>
                <w:rFonts w:ascii="Times New Roman" w:cs="Times New Roman" w:eastAsia="Times New Roman" w:hAnsi="Times New Roman"/>
                <w:sz w:val="18"/>
                <w:szCs w:val="18"/>
                <w:color w:val="auto"/>
              </w:rPr>
              <w:t>68,250</w:t>
            </w:r>
          </w:p>
        </w:tc>
        <w:tc>
          <w:tcPr>
            <w:tcW w:w="980" w:type="dxa"/>
            <w:vAlign w:val="bottom"/>
            <w:gridSpan w:val="3"/>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$ 283,250</w:t>
            </w:r>
          </w:p>
        </w:tc>
      </w:tr>
      <w:tr>
        <w:trPr>
          <w:trHeight w:val="216"/>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204,000</w:t>
            </w:r>
          </w:p>
        </w:tc>
        <w:tc>
          <w:tcPr>
            <w:tcW w:w="1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41,000</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284,525</w:t>
            </w:r>
          </w:p>
        </w:tc>
      </w:tr>
      <w:tr>
        <w:trPr>
          <w:trHeight w:val="234"/>
        </w:trPr>
        <w:tc>
          <w:tcPr>
            <w:tcW w:w="3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1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135,632</w:t>
            </w:r>
          </w:p>
        </w:tc>
        <w:tc>
          <w:tcPr>
            <w:tcW w:w="10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135,632</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Kristen Landon</w:t>
            </w:r>
          </w:p>
        </w:tc>
        <w:tc>
          <w:tcPr>
            <w:tcW w:w="11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11,791</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$ 311,791</w:t>
            </w:r>
          </w:p>
        </w:tc>
      </w:tr>
      <w:tr>
        <w:trPr>
          <w:trHeight w:val="216"/>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113,570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19,167</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470,862</w:t>
            </w:r>
          </w:p>
        </w:tc>
      </w:tr>
      <w:tr>
        <w:trPr>
          <w:trHeight w:val="216"/>
        </w:trPr>
        <w:tc>
          <w:tcPr>
            <w:tcW w:w="3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80" w:hanging="372"/>
        <w:spacing w:after="0" w:line="261"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periodically review, and may increase, base salaries in accordance with our normal annual compensation review for each of our named executive officers.</w:t>
      </w:r>
    </w:p>
    <w:p>
      <w:pPr>
        <w:ind w:left="380" w:hanging="372"/>
        <w:spacing w:after="0" w:line="260" w:lineRule="auto"/>
        <w:tabs>
          <w:tab w:leader="none" w:pos="3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options granted during the fiscal year, computed in accordance with FASB ASC Topic 718. Company to confirm salary and bonus amounts for 2025 in table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July 12, 2023, Dr. Dow was granted a five-year option to purchase a cumulative total of no more than 1,250 shares of our common stock over five years, vesting on the last day of each quarter in each calendar year for five years and (ii) Mr. Miller was granted a five-year option to purchase a cumulative total of no more than 1,000 shares of our common stock vesting on the last day of each quarter in each calendar year for five years. The per share exercise price of the options was initially equal to the per share closing price of our common stock on the date of grant and had a cashless exercise provision. In November 2023, the Board reset the exercise price of the options to be equal to $240.00 and modified the vesting provisions of the option to vest annually in equal tranches over five years, rather than quarterly, with the first vesting date being December 31, 2024. The initial grant and subsequent amendment of these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 and Mr. Miller’s option grants, as subsequently amended, were considered effective.</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2024, subject to and contingent upon the stockholders of the Company approving the amendment to the 2022 Plan to increase the number of shares available under the 2022 Plan, we granted Ms. Landon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the Board approved the grant of the options to Ms. Landon at a per share exercise price of $27.40.</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December 2024, the Board approved the grant of 26,250 options to Dr. Dow and 3,750 options to Mr. Miller as equity-based long-term incentive awards, which vest in five equal tranches on the last date of each fiscal year over five years, with the first vesting date being December 31, 2024. The options were</w:t>
      </w:r>
    </w:p>
    <w:p>
      <w:pPr>
        <w:sectPr>
          <w:pgSz w:w="11900" w:h="16838" w:orient="portrait"/>
          <w:cols w:equalWidth="0" w:num="1">
            <w:col w:w="11240"/>
          </w:cols>
          <w:pgMar w:left="320" w:top="140" w:right="339" w:bottom="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granted on January 2, 2025 with a per share exercise price of $26.20, the closing stock price on the grant date, and have a seven-year term.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Dow Employment Agreement. </w:t>
      </w:r>
      <w:r>
        <w:rPr>
          <w:rFonts w:ascii="Times New Roman" w:cs="Times New Roman" w:eastAsia="Times New Roman" w:hAnsi="Times New Roman"/>
          <w:sz w:val="18"/>
          <w:szCs w:val="18"/>
          <w:color w:val="auto"/>
        </w:rPr>
        <w:t>We entered into an Employment Agreement dated as of January 12, 2023, with Geoffrey Dow (the “Dow Employment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Agreement”), our Chief Executive Officer and Chairman of our Board. The term of the Dow Employment Agreement began on January 12, 2023 for an initial period of two years, with subsequent automatic renewals unless either party thereto provides notice to terminate at least 90 days prior to the applicable renewal date. The Dow Employment Agreement initially provided Dr. Dow an annual base salary of $228,000 (increased to $250,000 for fiscal year 2025), bonuses to the extent certain events occur or if applicable performance goals are met and employee benefits that are generally given to our senior executives. Contingent on the receipt of shareholder approval to increase the number of shares available under the 2022 Plan, Dr. Dow was granted a five-year option to purchase a cumulative total of no more than 1,250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Dr. Dow’s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Dr. Dow’s option grant, as subsequently amended, was considered effective.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terminate Dr. Dow’s employment for Cause, as defined in the Dow Employment Agreement, at any time upon notice to Dr. Dow setting forth in reasonable detail the nature of such Cause. We also may terminate Dr. Dow’s employment other than for Cause at any time upon thirty (30) days’ written notice to him. Dr. Dow may terminate his employment for Good Reason, as defined in the Dow Employment Agreement, at any time upon thirty (30) days’ written notice to us. In the event that Dr. Dow’s employment is terminated other than for Cause or for Good Reason, Dr. Dow will be entitled to, among other things, a continuation of his annual salary plus health insurance benefits for a period not exceeding 18 months. In addition, in the event of a Change in Control, as defined in the Dow Employment Agreement, on, or at any time during the 24 months following, the Change in Control, (i) we terminate Dr. Dow’s employment for any reason other than Cause or Disability, as defined in the Dow Employment Agreement, or (ii) Dr. Dow terminates his employment for Good Reason, Dr. Dow will be entitled to Change in Control severance.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Dow is subject to non-competition and non-solicitation during the term of his employment and for a period of 24 months after termination of his employment.</w:t>
      </w:r>
    </w:p>
    <w:p>
      <w:pPr>
        <w:spacing w:after="0" w:line="1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Miller Employment Agreement</w:t>
      </w:r>
      <w:r>
        <w:rPr>
          <w:rFonts w:ascii="Times New Roman" w:cs="Times New Roman" w:eastAsia="Times New Roman" w:hAnsi="Times New Roman"/>
          <w:sz w:val="17"/>
          <w:szCs w:val="17"/>
          <w:color w:val="auto"/>
        </w:rPr>
        <w:t>. We entered into an Employment Agreement dated as of January 12, 2023 with Tyrone Miller (the “Miller Employment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Agreement”), our Chief Financial Officer. The term of the Miller Employment Agreement began on January 12, 2023 and will continue for a period of two years, with subsequent automatic renewals unless either party thereto provides notice to terminate at least 90 days prior to the applicable renewal date. The Miller Employment Agreement initially provided Mr. Miller an annual base salary of $204,000 (increased to $215,000 for fiscal year 2025), bonuses to the extent certain events occur or if applicable performance goals are met and employee benefits that are generally given to our senior executives. Contingent on the receipt of shareholder approval to increase the number of shares available under the 2022 Plan, Mr. Miller was granted a five-year option to purchase a cumulative total of no more than 1,000 shares of our common stock, vesting on the last day of each quarter in each calendar year over five years. The per share exercise price of the option was initially equal to the per share closing price of our common stock on the date of the initial public offering and shall have a cashless exercise provision. In November 2023, the Board reset the exercise price of the option to be equal to $240.00 and modified the vesting provisions of the option to vest annually in equal tranches over five years, rather than quarterly, with the first vesting date being December 31, 2024. The initial grant and subsequent amendment of Mr. Miller’s options was contingent upon the stockholders of the Company approving the amendment to the exercise price of the options and approving the amendment to the 2022 Plan to increase the number of shares available under the 2022 Plan in order to comply with Listing Rule 5635(c) of The Nasdaq Stock Market LLC. On July 16, 2024, the Company’s stockholders approved the proposal to increase the number of shares available under the 2022 Plan. As of that date, Mr. Miller’s option grant, as subsequently amended, was considered effective.</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terminate Mr. Miller’s employment hereunder for Cause, as defined in the Miller Employment Agreement, at any time upon notice to Mr. Miller setting forth in reasonable detail the nature of such Cause. We also may terminate Mr. Miller’s employment other than for Cause at any time upon thirty</w:t>
      </w:r>
    </w:p>
    <w:p>
      <w:pPr>
        <w:jc w:val="both"/>
        <w:ind w:firstLine="8"/>
        <w:spacing w:after="0" w:line="252" w:lineRule="auto"/>
        <w:tabs>
          <w:tab w:leader="none" w:pos="34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written notice to him. Mr. Miller may terminate his employment for Good Reason, as defined in the Miller Employment Agreement, at any time upon thirty (30) days’ written notice to us. In the event that Mr. Miller’s employment is terminated other than for Cause or for Good Reason, Mr. Miller will be entitled to, among other things, a continuation of his annual salary plus health insurance benefits for a period not exceeding 18 months. In addition, in the event of a Change in Control, as defined in the Miller Employment Agreement, on, or at any time during the 24 months following, the Change in Control, (i) we terminate Mr. Miller’s employment for any reason other than Cause or Disability, as defined in the Miller Employment Agreement, or (ii) Mr. Miller terminates his employment for Good Reason, Mr. Miller will be entitled to Change in Control severance.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Miller is subject to non-competition and non-solicitation during the term of his employment and for a period of 24 months after termination of his employment.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Landon Employment Agreement</w:t>
      </w:r>
      <w:r>
        <w:rPr>
          <w:rFonts w:ascii="Times New Roman" w:cs="Times New Roman" w:eastAsia="Times New Roman" w:hAnsi="Times New Roman"/>
          <w:sz w:val="18"/>
          <w:szCs w:val="18"/>
          <w:color w:val="auto"/>
        </w:rPr>
        <w:t>. We entered into an Employment Agreement dated as of February 7, 2024 with Kristen Landon (the “Landon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Agreement”), our Chief Commercial Officer. The term of the Landon Employment Agreement began on February 12, 2024 and will continue at will, meaning that Ms. Landon or the Company may terminate the employment relationship at any time, with or without cause, and with or without notice and for any reason or no particular reason. The Landon Employment Agreement provides Ms. Landon an annual base salary of $300,000, sales bonuses and bonuses to the extent certain events occur or if applicable performance goals are met and employee benefits that are generally given to our senior executives. Contingent on the receipt of shareholder approval to increase the number of shares available under the 2022 Plan, Ms. Landon was granted a five-year option to purchase a total of 1,042 shares of our common stock with a per share exercise price to be determined by the Board on the date of grant. The options had a cashless exercise price and vest annually over five years, with the first vesting date being December 31, 3024. On September 26, 2024, after the receipt of stockholder approval to increase the number of shares available under the 2022 Plan, the Board approved the grant of the options to Ms. Landon at a per share exercise price of $27.40.</w:t>
      </w:r>
    </w:p>
    <w:p>
      <w:pPr>
        <w:sectPr>
          <w:pgSz w:w="11900" w:h="16838" w:orient="portrait"/>
          <w:cols w:equalWidth="0" w:num="1">
            <w:col w:w="11240"/>
          </w:cols>
          <w:pgMar w:left="320" w:top="121" w:right="339" w:bottom="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540" w:type="dxa"/>
            <w:vAlign w:val="bottom"/>
            <w:gridSpan w:val="10"/>
          </w:tcPr>
          <w:p>
            <w:pPr>
              <w:ind w:left="740"/>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2025</w:t>
            </w: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0" w:type="dxa"/>
            <w:vAlign w:val="bottom"/>
          </w:tcPr>
          <w:p>
            <w:pPr>
              <w:spacing w:after="0"/>
              <w:rPr>
                <w:sz w:val="1"/>
                <w:szCs w:val="1"/>
                <w:color w:val="auto"/>
              </w:rPr>
            </w:pPr>
          </w:p>
        </w:tc>
      </w:tr>
      <w:tr>
        <w:trPr>
          <w:trHeight w:val="194"/>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incentive plan</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value</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unexercised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underlying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shares or</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22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unexercisable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unearned</w:t>
            </w:r>
          </w:p>
        </w:tc>
        <w:tc>
          <w:tcPr>
            <w:tcW w:w="124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that have not</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that have not</w:t>
            </w:r>
          </w:p>
        </w:tc>
        <w:tc>
          <w:tcPr>
            <w:tcW w:w="0" w:type="dxa"/>
            <w:vAlign w:val="bottom"/>
          </w:tcPr>
          <w:p>
            <w:pPr>
              <w:spacing w:after="0"/>
              <w:rPr>
                <w:sz w:val="1"/>
                <w:szCs w:val="1"/>
                <w:color w:val="auto"/>
              </w:rPr>
            </w:pPr>
          </w:p>
        </w:tc>
      </w:tr>
      <w:tr>
        <w:trPr>
          <w:trHeight w:val="245"/>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 (#)</w:t>
            </w:r>
          </w:p>
        </w:tc>
        <w:tc>
          <w:tcPr>
            <w:tcW w:w="220" w:type="dxa"/>
            <w:vAlign w:val="bottom"/>
          </w:tcPr>
          <w:p>
            <w:pPr>
              <w:spacing w:after="0"/>
              <w:rPr>
                <w:sz w:val="21"/>
                <w:szCs w:val="21"/>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Option expiration</w:t>
            </w: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vested (#)</w:t>
            </w:r>
          </w:p>
        </w:tc>
        <w:tc>
          <w:tcPr>
            <w:tcW w:w="120" w:type="dxa"/>
            <w:vAlign w:val="bottom"/>
          </w:tcPr>
          <w:p>
            <w:pPr>
              <w:spacing w:after="0"/>
              <w:rPr>
                <w:sz w:val="21"/>
                <w:szCs w:val="21"/>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vested ($)</w:t>
            </w:r>
          </w:p>
        </w:tc>
        <w:tc>
          <w:tcPr>
            <w:tcW w:w="0" w:type="dxa"/>
            <w:vAlign w:val="bottom"/>
          </w:tcPr>
          <w:p>
            <w:pPr>
              <w:spacing w:after="0"/>
              <w:rPr>
                <w:sz w:val="1"/>
                <w:szCs w:val="1"/>
                <w:color w:val="auto"/>
              </w:rPr>
            </w:pPr>
          </w:p>
        </w:tc>
      </w:tr>
      <w:tr>
        <w:trPr>
          <w:trHeight w:val="198"/>
        </w:trPr>
        <w:tc>
          <w:tcPr>
            <w:tcW w:w="232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Geoffrey Dow, President and</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00" w:type="dxa"/>
            <w:vAlign w:val="bottom"/>
            <w:shd w:val="clear" w:color="auto" w:fill="CCEEFF"/>
          </w:tcPr>
          <w:p>
            <w:pPr>
              <w:spacing w:after="0"/>
              <w:rPr>
                <w:sz w:val="18"/>
                <w:szCs w:val="18"/>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w:t>
            </w:r>
          </w:p>
        </w:tc>
        <w:tc>
          <w:tcPr>
            <w:tcW w:w="1300" w:type="dxa"/>
            <w:vAlign w:val="bottom"/>
            <w:gridSpan w:val="2"/>
            <w:vMerge w:val="restart"/>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240.00</w:t>
            </w:r>
          </w:p>
        </w:tc>
        <w:tc>
          <w:tcPr>
            <w:tcW w:w="1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July 16, 2034</w:t>
            </w:r>
          </w:p>
        </w:tc>
        <w:tc>
          <w:tcPr>
            <w:tcW w:w="1260" w:type="dxa"/>
            <w:vAlign w:val="bottom"/>
            <w:gridSpan w:val="3"/>
            <w:vMerge w:val="restart"/>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6"/>
        </w:trPr>
        <w:tc>
          <w:tcPr>
            <w:tcW w:w="2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Executive Officer)</w:t>
            </w:r>
            <w:r>
              <w:rPr>
                <w:rFonts w:ascii="Times New Roman" w:cs="Times New Roman" w:eastAsia="Times New Roman" w:hAnsi="Times New Roman"/>
                <w:sz w:val="9"/>
                <w:szCs w:val="9"/>
                <w:color w:val="auto"/>
              </w:rPr>
              <w:t>(1)</w:t>
            </w:r>
          </w:p>
        </w:tc>
        <w:tc>
          <w:tcPr>
            <w:tcW w:w="100" w:type="dxa"/>
            <w:vAlign w:val="bottom"/>
            <w:shd w:val="clear" w:color="auto" w:fill="CCEEFF"/>
          </w:tcPr>
          <w:p>
            <w:pPr>
              <w:spacing w:after="0"/>
              <w:rPr>
                <w:sz w:val="7"/>
                <w:szCs w:val="7"/>
                <w:color w:val="auto"/>
              </w:rPr>
            </w:pPr>
          </w:p>
        </w:tc>
        <w:tc>
          <w:tcPr>
            <w:tcW w:w="1160" w:type="dxa"/>
            <w:vAlign w:val="bottom"/>
            <w:gridSpan w:val="2"/>
            <w:vMerge w:val="continue"/>
            <w:shd w:val="clear" w:color="auto" w:fill="CCEEFF"/>
          </w:tcPr>
          <w:p>
            <w:pPr>
              <w:spacing w:after="0"/>
              <w:rPr>
                <w:sz w:val="7"/>
                <w:szCs w:val="7"/>
                <w:color w:val="auto"/>
              </w:rPr>
            </w:pPr>
          </w:p>
        </w:tc>
        <w:tc>
          <w:tcPr>
            <w:tcW w:w="1300" w:type="dxa"/>
            <w:vAlign w:val="bottom"/>
            <w:gridSpan w:val="2"/>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020" w:type="dxa"/>
            <w:vAlign w:val="bottom"/>
            <w:gridSpan w:val="2"/>
            <w:vMerge w:val="continue"/>
            <w:shd w:val="clear" w:color="auto" w:fill="CCEEFF"/>
          </w:tcPr>
          <w:p>
            <w:pPr>
              <w:spacing w:after="0"/>
              <w:rPr>
                <w:sz w:val="7"/>
                <w:szCs w:val="7"/>
                <w:color w:val="auto"/>
              </w:rPr>
            </w:pPr>
          </w:p>
        </w:tc>
        <w:tc>
          <w:tcPr>
            <w:tcW w:w="1720" w:type="dxa"/>
            <w:vAlign w:val="bottom"/>
            <w:gridSpan w:val="2"/>
            <w:vMerge w:val="continue"/>
            <w:shd w:val="clear" w:color="auto" w:fill="CCEEFF"/>
          </w:tcPr>
          <w:p>
            <w:pPr>
              <w:spacing w:after="0"/>
              <w:rPr>
                <w:sz w:val="7"/>
                <w:szCs w:val="7"/>
                <w:color w:val="auto"/>
              </w:rPr>
            </w:pPr>
          </w:p>
        </w:tc>
        <w:tc>
          <w:tcPr>
            <w:tcW w:w="1260" w:type="dxa"/>
            <w:vAlign w:val="bottom"/>
            <w:gridSpan w:val="3"/>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3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10,500</w:t>
            </w:r>
          </w:p>
        </w:tc>
        <w:tc>
          <w:tcPr>
            <w:tcW w:w="1300" w:type="dxa"/>
            <w:vAlign w:val="bottom"/>
            <w:gridSpan w:val="2"/>
            <w:vMerge w:val="restart"/>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26.20</w:t>
            </w:r>
          </w:p>
        </w:tc>
        <w:tc>
          <w:tcPr>
            <w:tcW w:w="172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January 2, 2032</w:t>
            </w:r>
          </w:p>
        </w:tc>
        <w:tc>
          <w:tcPr>
            <w:tcW w:w="1260" w:type="dxa"/>
            <w:vAlign w:val="bottom"/>
            <w:gridSpan w:val="3"/>
            <w:vMerge w:val="restart"/>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60" w:type="dxa"/>
            <w:vAlign w:val="bottom"/>
            <w:gridSpan w:val="2"/>
            <w:vMerge w:val="continue"/>
            <w:shd w:val="clear" w:color="auto" w:fill="CCEEFF"/>
          </w:tcPr>
          <w:p>
            <w:pPr>
              <w:spacing w:after="0"/>
              <w:rPr>
                <w:sz w:val="9"/>
                <w:szCs w:val="9"/>
                <w:color w:val="auto"/>
              </w:rPr>
            </w:pPr>
          </w:p>
        </w:tc>
        <w:tc>
          <w:tcPr>
            <w:tcW w:w="1300" w:type="dxa"/>
            <w:vAlign w:val="bottom"/>
            <w:gridSpan w:val="2"/>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220" w:type="dxa"/>
            <w:vAlign w:val="bottom"/>
            <w:vMerge w:val="continue"/>
            <w:shd w:val="clear" w:color="auto" w:fill="CCEEFF"/>
          </w:tcPr>
          <w:p>
            <w:pPr>
              <w:spacing w:after="0"/>
              <w:rPr>
                <w:sz w:val="9"/>
                <w:szCs w:val="9"/>
                <w:color w:val="auto"/>
              </w:rPr>
            </w:pPr>
          </w:p>
        </w:tc>
        <w:tc>
          <w:tcPr>
            <w:tcW w:w="1020" w:type="dxa"/>
            <w:vAlign w:val="bottom"/>
            <w:gridSpan w:val="2"/>
            <w:vMerge w:val="continue"/>
            <w:shd w:val="clear" w:color="auto" w:fill="CCEEFF"/>
          </w:tcPr>
          <w:p>
            <w:pPr>
              <w:spacing w:after="0"/>
              <w:rPr>
                <w:sz w:val="9"/>
                <w:szCs w:val="9"/>
                <w:color w:val="auto"/>
              </w:rPr>
            </w:pPr>
          </w:p>
        </w:tc>
        <w:tc>
          <w:tcPr>
            <w:tcW w:w="1720" w:type="dxa"/>
            <w:vAlign w:val="bottom"/>
            <w:gridSpan w:val="2"/>
            <w:vMerge w:val="continue"/>
            <w:shd w:val="clear" w:color="auto" w:fill="CCEEFF"/>
          </w:tcPr>
          <w:p>
            <w:pPr>
              <w:spacing w:after="0"/>
              <w:rPr>
                <w:sz w:val="9"/>
                <w:szCs w:val="9"/>
                <w:color w:val="auto"/>
              </w:rPr>
            </w:pPr>
          </w:p>
        </w:tc>
        <w:tc>
          <w:tcPr>
            <w:tcW w:w="1260" w:type="dxa"/>
            <w:vAlign w:val="bottom"/>
            <w:gridSpan w:val="3"/>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Tyrone Miller, Chief Financial</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Officer (Principal Financial and</w:t>
            </w:r>
          </w:p>
        </w:tc>
        <w:tc>
          <w:tcPr>
            <w:tcW w:w="1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c>
          <w:tcPr>
            <w:tcW w:w="1300" w:type="dxa"/>
            <w:vAlign w:val="bottom"/>
            <w:gridSpan w:val="2"/>
            <w:vMerge w:val="restart"/>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240.00</w:t>
            </w: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w w:val="98"/>
              </w:rPr>
              <w:t>July 16, 2034</w:t>
            </w:r>
          </w:p>
        </w:tc>
        <w:tc>
          <w:tcPr>
            <w:tcW w:w="1260" w:type="dxa"/>
            <w:vAlign w:val="bottom"/>
            <w:gridSpan w:val="3"/>
            <w:vMerge w:val="restart"/>
          </w:tcPr>
          <w:p>
            <w:pPr>
              <w:jc w:val="center"/>
              <w:ind w:left="9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99"/>
        </w:trPr>
        <w:tc>
          <w:tcPr>
            <w:tcW w:w="2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Accounting Officer)</w:t>
            </w:r>
            <w:r>
              <w:rPr>
                <w:rFonts w:ascii="Times New Roman" w:cs="Times New Roman" w:eastAsia="Times New Roman" w:hAnsi="Times New Roman"/>
                <w:sz w:val="9"/>
                <w:szCs w:val="9"/>
                <w:color w:val="auto"/>
              </w:rPr>
              <w:t>(2)</w:t>
            </w:r>
          </w:p>
        </w:tc>
        <w:tc>
          <w:tcPr>
            <w:tcW w:w="1260" w:type="dxa"/>
            <w:vAlign w:val="bottom"/>
            <w:gridSpan w:val="3"/>
            <w:vMerge w:val="continue"/>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320" w:type="dxa"/>
            <w:vAlign w:val="bottom"/>
            <w:vMerge w:val="continue"/>
          </w:tcPr>
          <w:p>
            <w:pPr>
              <w:spacing w:after="0"/>
              <w:rPr>
                <w:sz w:val="11"/>
                <w:szCs w:val="11"/>
                <w:color w:val="auto"/>
              </w:rPr>
            </w:pPr>
          </w:p>
        </w:tc>
        <w:tc>
          <w:tcPr>
            <w:tcW w:w="1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1,500</w:t>
            </w:r>
          </w:p>
        </w:tc>
        <w:tc>
          <w:tcPr>
            <w:tcW w:w="1300" w:type="dxa"/>
            <w:vAlign w:val="bottom"/>
            <w:gridSpan w:val="2"/>
            <w:vMerge w:val="restart"/>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26.20</w:t>
            </w:r>
          </w:p>
        </w:tc>
        <w:tc>
          <w:tcPr>
            <w:tcW w:w="1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color w:val="auto"/>
              </w:rPr>
              <w:t>January 2, 2032</w:t>
            </w:r>
          </w:p>
        </w:tc>
        <w:tc>
          <w:tcPr>
            <w:tcW w:w="1260" w:type="dxa"/>
            <w:vAlign w:val="bottom"/>
            <w:gridSpan w:val="3"/>
            <w:vMerge w:val="restart"/>
          </w:tcPr>
          <w:p>
            <w:pPr>
              <w:jc w:val="center"/>
              <w:ind w:left="9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2"/>
        </w:trPr>
        <w:tc>
          <w:tcPr>
            <w:tcW w:w="23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Kristen Landon, Chief</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Officer</w:t>
            </w:r>
            <w:r>
              <w:rPr>
                <w:rFonts w:ascii="Times New Roman" w:cs="Times New Roman" w:eastAsia="Times New Roman" w:hAnsi="Times New Roman"/>
                <w:sz w:val="9"/>
                <w:szCs w:val="9"/>
                <w:color w:val="auto"/>
              </w:rPr>
              <w:t>(3)</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418</w:t>
            </w:r>
          </w:p>
        </w:tc>
        <w:tc>
          <w:tcPr>
            <w:tcW w:w="1300" w:type="dxa"/>
            <w:vAlign w:val="bottom"/>
            <w:gridSpan w:val="2"/>
            <w:shd w:val="clear" w:color="auto" w:fill="CCEEFF"/>
          </w:tcPr>
          <w:p>
            <w:pPr>
              <w:jc w:val="center"/>
              <w:ind w:left="99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27.40</w:t>
            </w:r>
          </w:p>
        </w:tc>
        <w:tc>
          <w:tcPr>
            <w:tcW w:w="17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26, 2034</w:t>
            </w:r>
          </w:p>
        </w:tc>
        <w:tc>
          <w:tcPr>
            <w:tcW w:w="1260" w:type="dxa"/>
            <w:vAlign w:val="bottom"/>
            <w:gridSpan w:val="3"/>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Dow’s option grant to purchase a total of 1,250 shares of our common stock vests annually on the last date of each fiscal year in five equal tranches, with the first vesting date being December 31, 2024, and Dr. Dow’s option grant to purchase a total of 26,250 shares of our common stock vests annually on the last date of each fiscal year in five equal tranches, with the first vesting date being December 31, 2024.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Miller’s option grant to purchase a total of 1,000 shares of our common stock vests annually on the last date of each fiscal year in five equal tranches, with the first vesting date being December 31, 2024, and Mr. Miller’s option grant to purchase a total of 3,750 shares of our common stock vests annually on the last date of each fiscal year in five equal tranches, with the first vesting date being December 31, 2024.</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Landon’s option grant to purchase a total of 1,042 shares of our common stock vests annually on the last date of each fiscal year in five equal tranches, with the first vesting date being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2022 Equity Incentive Plan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22, 2022, our Board and our stockholders approved the 60 Degrees Pharmaceuticals, Inc. 2022 Equity Incentive Plan. The 2022 Plan governs equity awards to our employees, directors, officers, consultants and other eligible participants. Initially, the maximum number of shares of our common stock that may be subject to awards under the 2022 Plan was equal to 995. The 2022 Plan provides for an automatic increase in the number of shares available for issuance beginning on January 1, 2023 and each January 1 thereafter, by 4% of the number of outstanding shares of common stock on the immediately preceding December 31, or such number of shares as determined by the Board of Directors. As of March 30, 2026, the Board has reserved 162,889 shares of common stock issuable upon the grant of awards under the Plan, of which 115,284 shares remain available for issuance.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purpose of the 2022 Plan is to attract and retain the best available personnel for positions of substantial responsibility, to provide additional incentive to employees, directors and consultants, and to promote the success of our business. The administrator of the 2022 Plan may, in its sole discretion, amend, alter, suspend or terminate the 2022 Plan, or any part thereof, at any time and for any reason. We will obtain stockholder approval of any 2022 Plan amendment to the extent necessary and desirable to comply with legal and regulatory requirements relating to the administration of equity-based awards. Unless earlier terminated by the administrator, the 2022 Plan will terminate ten years from the date it is adopted by our Board.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Plan Administration</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One or more committees appointed by our Board will administer the 2022 Plan. Initially, the Compensation Committee shall administer the 2022 Plan. In addition, if we determine it is desirable to qualify transactions under the 2022 Plan as exempt under Rule 16b-3 of the Exchange Act, such transactions will be structured with the intent that they satisfy the requirements for exemption under Rule 16b-3. Subject to the provisions of the 2022 Plan, the administrator has the power to administer the 2022 Plan and make all determinations deemed necessary or advisable for administering the 2022 Plan, including the power to determine the fair market value of our common stock, select the service providers to whom awards may be granted, determine the number of shares covered by each award, approve forms of award agreements for use under the 2022 Plan, determine the terms and conditions of awards (including the exercise price, the time or times at which the awards may be exercised, any vesting acceleration or waiver or forfeiture restrictions and any restriction or limitation regarding any award or the shares relating thereto), construe and interpret the terms of the 2022 Plan and awards granted under it, prescribe, amend and rescind rules relating to the 2022 Plan, rules and regulations relating to sub-plans established for the purpose of facilitating compliance with applicable non-U.S. laws, easing the administration of the 2022 Plan and/or for qualifying for favorable tax treatment under applicable non-U.S. laws, in each case as the administrator may deem necessary or advisable and modify or amend each award (subject to the provisions of the 2022 Plan), including the discretionary authority to extend the post-termination exercisability period of awards and to extend the maximum term of an option or stock appreciation right (subject to the provisions of the 2022 Plan), to allow Participants to satisfy withholding tax obligations in a manner permissible under the 2022 Plan, to authorize any person to execute on behalf of us any instrument required to effect the grant of an award previously granted by the administrator and to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or different terms, awards of a different type or cash, or by which the exercise price of an outstanding award is increased or reduced. The administrator’s decisions, interpretations and other actions are final and binding on all participants.</w:t>
      </w:r>
    </w:p>
    <w:p>
      <w:pPr>
        <w:sectPr>
          <w:pgSz w:w="11900" w:h="16838" w:orient="portrait"/>
          <w:cols w:equalWidth="0" w:num="1">
            <w:col w:w="11240"/>
          </w:cols>
          <w:pgMar w:left="320" w:top="117" w:right="339" w:bottom="21"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auto"/>
        </w:rPr>
        <w:t>Eligibility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Awards under the 2022 Plan, other than incentive stock options, may be granted to our employees (including our officers and directors) or a parent or subsidiary, members of our Board, or consultants engaged to render bona fide services to us or a parent or subsidiary. Incentive stock options may be granted only to our employees or a subsidiary, provided the services (i) are not in connection with the offer or sale of securities in a capital-raising transaction, and (ii) do not directly promote or maintain a market for our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 options may be granted under the 2022 Plan. The exercise price of options granted under the 2022 Plan generally must at least be equal to the fair market value of our common stock on the date of grant. The term of each option will be as stated in the applicable award agreement; provided, however, that the term may be no more than 10 years from the date of grant.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they may exercise their option for the period of time stated in their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three months following the termination of service. An option may not be exercised later than the expiration of its term. Subject to the provisions of the 2022 Plan, the administrator determines the other terms of options.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Appreciation Rights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appreciation rights may be granted under the 2022 Plan. Stock appreciation rights allow the recipient to receive the appreciation in the fair market value of our common stock between the exercise date and the date of grant. Stock appreciation rights may not have a term exceeding 10 years. After the termination of service of an employee, director or consultant, they may exercise their stock appreciation right for the period of time stated in their stock appreciation right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the 2022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Restricted stock may be granted under the 2022 Plan. Restricted stock awards are grants of shares of our common stock that vest in accordance with terms and conditions established by the administrator. The administrator will determine the number of shares of restricted stock granted to any employee, director or consultant and, subject to the provisions of the 2022 Plan, will determine the terms and conditions of such awards. The administrator may impose whatever conditions to vesting it determines to be appropriate (for example, the administrator may set restrictions based on the achievement of specific performance goals or continued service to us); provided, however, that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RSUs may be granted under the 2022 Plan. RSUs are bookkeeping entries representing an amount equal to the fair market value of one share of our common stock. Subject to the provisions of the 2022 Plan, the administrator determines the terms and conditions of RSUs, including the vesting criteria and the form and timing of payment. The administrator may set vesting criteria based upon the achievement of Company-wide, divisional, business unit or individual goals (including continued employment or service), applicable federal or state securities laws or any other basis determined by the administrator in its discretion. The administrator, in its sole discretion, may pay earned RSUs in the form of cash, in shares of our common stock or in some combination thereof. Notwithstanding the foregoing, the administrator, in its sole discretion, may accelerate the time at which any vesting requirements will be deemed satisfied.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Awards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Performance awards may be granted under the 2022 Plan. Performance awards are awards that will result in a payment to a participant only if performance goals established by the administrator are achieved or the awards otherwise vest. The administrator will set objectives or vesting provisions, that, depending on the extent to which they are met, will determine the value of the payout for the performance awards. The administrator may set vesting criteria based on the achievement of Company-wide, divisional, business unit, or individual goals (including, but not limited to, continued employment or service), or any other basis determined by the administrator in its discretion. Each performance award’s threshold, target, and maximum payout values are established by the administrator on or before the grant date. After the grant of a performance award, the administrator, in its sole discretion, may reduce or waive any performance objectives or other vesting provisions for such performance award. The administrator, in its sole discretion, may pay earned performance awards in the form of cash, in shares, or in some combination thereof.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Non-transferability of Awards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the administrator provides otherwise, the 2022 Plan generally does not allow for the transfer of awards other than by will or by the laws of descent and distribution and only the recipient of an award may exercise an award during their lifetime. If the administrator makes an award transferrable, such award will contain such additional terms and conditions as the administrator deems appropriate.</w:t>
      </w:r>
    </w:p>
    <w:p>
      <w:pPr>
        <w:sectPr>
          <w:pgSz w:w="11900" w:h="16838" w:orient="portrait"/>
          <w:cols w:equalWidth="0" w:num="1">
            <w:col w:w="11240"/>
          </w:cols>
          <w:pgMar w:left="320" w:top="119" w:right="339" w:bottom="0" w:gutter="0" w:footer="0" w:header="0"/>
        </w:sectPr>
      </w:pP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Certain Adjustments</w:t>
      </w:r>
    </w:p>
    <w:p>
      <w:pPr>
        <w:sectPr>
          <w:pgSz w:w="11900" w:h="16838" w:orient="portrait"/>
          <w:cols w:equalWidth="0" w:num="1">
            <w:col w:w="11240"/>
          </w:cols>
          <w:pgMar w:left="320" w:top="119" w:right="339" w:bottom="0" w:gutter="0" w:footer="0" w:header="0"/>
          <w:type w:val="continuous"/>
        </w:sectPr>
      </w:pPr>
    </w:p>
    <w:bookmarkStart w:id="67" w:name="page68"/>
    <w:bookmarkEnd w:id="67"/>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certain changes in our capitalization, to prevent diminution or enlargement of the benefits or potential benefits available under the 2022 Plan, the administrator will adjust the number and class of shares that may be delivered under the 2022 Plan or the number, and price of shares covered by each outstanding award and the numerical share limits set forth in the 2022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Dissolution or Liquidation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our proposed liquidation or dissolution, the administrator will notify participants as soon as practicable and all awards will terminate immediately prior to the consummation of such proposed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Merger or Change in Control</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2022 Plan provides that in the event of our merger with or into another corporation or entity or a “change in control” (as defined in the 2022 Plan), each outstanding award will be treated as the administrator determines,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 In the event that awards (or portion thereof) are not assumed or substituted for in the event of a merger or change in control, the participant will fully vest in and have the right to exercise all of their outstanding options and stock appreciation rights, including shares as to which such awards would not otherwise be vested or exercisable, all restrictions on restricted stock and RSUs or performance awards will lapse and, with respect to awards with performance-based vesting, all performance goals or other vesting criteria will be deemed achieved at 100% of target levels and all other terms and conditions met, in all cases, unless specifically provided otherwise under the applicable award agreement or other written agreement between the participant and us or any of our subsidiaries or parents, as applicable.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vested option or stock appreciation right will terminate upon the expiration of such period.</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awards granted to an outside director, the outside director will fully vest in and have the right to exercise options and/or stock appreciation rights as to all of the shares underlying such award, including those shares which would not be vested or exercisable, all restrictions on restricted stock and RSUs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us or any of our subsidiaries or parents, as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Clawback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Awards will be subject to any clawback policy that we are required to adopt pursuant to the listing standards of any national securities exchange or association on which our securities are listed or as is otherwise required by the Dodd-Frank Act or other applicable laws. The administrator also may specify in an award agreement that the participant’s rights, payments or benefits with respect to an award will be subject to reduction, cancellation, forfeiture or recoupment upon the occurrence of certain specified events. The administrator may require a participant to forfeit, return or reimburse us all or a portion of the award or shares issued under the award, any amounts paid under the award and any payments or proceeds paid or provided upon disposition of the shares issued under the award in order to comply with such clawback policy or applicable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Amendment and Termination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administrator has the authority to amend, suspend or terminate the 2022 Plan provided such action does not impair the existing rights of any participant. The 2022 Plan automatically will terminate on November 22, 2032, unless it is terminated sooner.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Non-Employee Director Remuneration Policy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has not adopted a non-employee director remuneration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Clawback Policy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23, 2023, our Board adopted an executive compensation recoupment policy consistent with the requirements of the Exchange Act Rule 10D-1 and the Nasdaq listing standards thereunder, to help ensure that incentive compensation is paid based on accurate financial and operating data, and the correct calculation of performance against incentive targets. Our policy addresses recoupment of amounts from performance-based awards paid to all corporate officers, including awards under our equity incentive plans, in the event of a financial restatement to the extent that the payout for such awards would have been less, or in the event of fraud, or intentional, willful or gross misconduct that contributed to the need for a financial restatement.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Board Compensation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November and December 2022, we signed agreements with four directors (Cheryl Xu, Paul Field, Charles Allen and Stephen Toovey). Each director receives cash compensation of $11,250 per quarter. In addition, the two non-audit committee chairs (Mr. Toovey and Mr. Field) receive $1,250 per quarter</w:t>
      </w:r>
    </w:p>
    <w:p>
      <w:pPr>
        <w:sectPr>
          <w:pgSz w:w="11900" w:h="16846" w:orient="portrait"/>
          <w:cols w:equalWidth="0" w:num="1">
            <w:col w:w="11240"/>
          </w:cols>
          <w:pgMar w:left="320" w:top="337" w:right="339" w:bottom="0" w:gutter="0" w:footer="0" w:header="0"/>
        </w:sectPr>
      </w:pPr>
    </w:p>
    <w:bookmarkStart w:id="68" w:name="page69"/>
    <w:bookmarkEnd w:id="68"/>
    <w:p>
      <w:pPr>
        <w:jc w:val="both"/>
        <w:spacing w:after="0" w:line="254" w:lineRule="auto"/>
        <w:rPr>
          <w:sz w:val="20"/>
          <w:szCs w:val="20"/>
          <w:color w:val="auto"/>
        </w:rPr>
      </w:pPr>
      <w:r>
        <w:rPr>
          <w:rFonts w:ascii="Times New Roman" w:cs="Times New Roman" w:eastAsia="Times New Roman" w:hAnsi="Times New Roman"/>
          <w:sz w:val="18"/>
          <w:szCs w:val="18"/>
          <w:color w:val="auto"/>
        </w:rPr>
        <w:t>and the audit committee chair (Mr. Allen) receives an additional $2,000 per quarter. On July 11, 2023, each director received (i) a one-off issuance of 42 shares of common stock, (ii) a fully vested, non-qualified option to purchase 40 shares of common stock at a per share exercise price of $1,272.00, and (iii) 17 restricted stock units vesting in two even quarterly tranches on September 30, 2023 and December 31, 2023. Contingent on the receipt of shareholder approval to increase the number of shares authorized under the 2022 Plan, each director was entitled to receive 32 additional non-qualified options at a per share exercise price of $1,272.00, vesting 100% on the first anniversary of our IPO. On July 16, 2024, our stockholders approved the proposal to increase the number of shares available under the 2022 Plan and on such date, the directors’ additional option grants were considered effective and were fully vested on the date of grant. In November 2024, the Board approved a cash payment of $20,000 to each non-executive director in lieu of equity-based fees for 2024 services. On October 21, 2025, the Board approved the grant of 8,000 stock options to each of the four directors (2,000 per director) at a per share exercise price of $5.84. These stock options were fully vested on the date of grant and have a term of seven years.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Committee Review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shall, if it deems necessary or prudent in its discretion, reevaluate and approve in January of each such year (or in any event prior to the first Board meeting of such fiscal year) the cash and equity awards (amount and manner or method of payment) to be made to non-employee directors for such fiscal year. In making this determination, the Compensation Committee shall utilize such market standard metrics as it deems appropriate, including, without limitation, an analysis of cash compensation paid to independent directors of our peer group.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shall also have the power and discretion to determine in the future whether non-employee directors should receive annual or other grants of options to purchase shares of common stock or other equity incentive awards in such amounts and pursuant to such policies as the Compensation Committee may determine utilizing such market standard metrics as it deems appropriate, including, without limitation, an analysis of equity awards granted to independent directors of our peer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for Granting Certain Equity Awards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policies and practices regarding the granting of equity awards are carefully designed to ensure compliance with applicable securities laws and to maintain the integrity of our executive compensation program. The Compensation Committee is responsible for the timing and terms of equity awards to executives and other eligible employees.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timing of equity award grants is determined with consideration to a variety of factors, including but not limited to, the achievement of pre-established performance targets, market conditions and internal milestones. The Company does not follow a predetermined schedule for the granting of equity awards; instead, each grant is considered on a case-by-case basis to align with the Company’s strategic objectives and to ensure the competitiveness of our compensation packages.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determining the timing and terms of an equity award, the Board or the Compensation Committee may consider material nonpublic information to ensure that such grants are made in compliance with applicable laws and regulations. The Board’s or the Compensation Committee’s procedures to prevent the improper use of material nonpublic information in connection with the granting of equity awards include oversight by legal counsel and, where appropriate, delaying the grant of equity awards until the public disclosure of such material nonpublic information.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committed to maintaining transparency in its executive compensation practices and to making equity awards in a manner that is not influenced by the timing of the disclosure of material nonpublic information for the purpose of affecting the value of executive compensation. The Company regularly reviews its policies and practices related to equity awards to ensure they meet the evolving standards of corporate governance and continue to serve the best interests of the Company and its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Participation of Employee Directors; New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separately and specifically approved by the Compensation Committee in its discretion, none of our employee directors shall be entitled to receive any remuneration for service as a director (other than expense reimbursement as per prevailing policy).</w:t>
      </w:r>
    </w:p>
    <w:p>
      <w:pPr>
        <w:spacing w:after="0" w:line="15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31"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or Paid in</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80" w:type="dxa"/>
            <w:vAlign w:val="bottom"/>
            <w:gridSpan w:val="2"/>
          </w:tcPr>
          <w:p>
            <w:pPr>
              <w:jc w:val="center"/>
              <w:ind w:right="160"/>
              <w:spacing w:after="0" w:line="184" w:lineRule="exact"/>
              <w:rPr>
                <w:sz w:val="20"/>
                <w:szCs w:val="20"/>
                <w:color w:val="auto"/>
              </w:rPr>
            </w:pPr>
            <w:r>
              <w:rPr>
                <w:rFonts w:ascii="Times New Roman" w:cs="Times New Roman" w:eastAsia="Times New Roman" w:hAnsi="Times New Roman"/>
                <w:sz w:val="18"/>
                <w:szCs w:val="18"/>
                <w:b w:val="1"/>
                <w:bCs w:val="1"/>
                <w:color w:val="auto"/>
              </w:rPr>
              <w:t>Incentive Plan</w:t>
            </w:r>
          </w:p>
        </w:tc>
        <w:tc>
          <w:tcPr>
            <w:tcW w:w="1280" w:type="dxa"/>
            <w:vAlign w:val="bottom"/>
            <w:gridSpan w:val="2"/>
          </w:tcPr>
          <w:p>
            <w:pPr>
              <w:jc w:val="right"/>
              <w:ind w:right="34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7"/>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1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10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6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0" w:type="dxa"/>
            <w:vAlign w:val="bottom"/>
          </w:tcPr>
          <w:p>
            <w:pPr>
              <w:spacing w:after="0"/>
              <w:rPr>
                <w:sz w:val="24"/>
                <w:szCs w:val="24"/>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4"/>
                <w:szCs w:val="24"/>
                <w:color w:val="auto"/>
              </w:rPr>
            </w:pPr>
          </w:p>
        </w:tc>
        <w:tc>
          <w:tcPr>
            <w:tcW w:w="11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53,000</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61,240</w:t>
            </w:r>
          </w:p>
        </w:tc>
        <w:tc>
          <w:tcPr>
            <w:tcW w:w="0" w:type="dxa"/>
            <w:vAlign w:val="bottom"/>
          </w:tcPr>
          <w:p>
            <w:pPr>
              <w:spacing w:after="0"/>
              <w:rPr>
                <w:sz w:val="1"/>
                <w:szCs w:val="1"/>
                <w:color w:val="auto"/>
              </w:rPr>
            </w:pPr>
          </w:p>
        </w:tc>
      </w:tr>
      <w:tr>
        <w:trPr>
          <w:trHeight w:val="216"/>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Cheryl Xu</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53,240</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8,240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0" w:type="dxa"/>
            <w:vAlign w:val="bottom"/>
          </w:tcPr>
          <w:p>
            <w:pPr>
              <w:spacing w:after="0"/>
              <w:rPr>
                <w:sz w:val="1"/>
                <w:szCs w:val="1"/>
                <w:color w:val="auto"/>
              </w:rPr>
            </w:pPr>
          </w:p>
        </w:tc>
      </w:tr>
      <w:tr>
        <w:trPr>
          <w:trHeight w:val="234"/>
        </w:trPr>
        <w:tc>
          <w:tcPr>
            <w:tcW w:w="3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Field</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8,240</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58,240</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left="5540" w:right="820" w:hanging="5532"/>
        <w:spacing w:after="0" w:line="532" w:lineRule="auto"/>
        <w:tabs>
          <w:tab w:leader="none" w:pos="33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aggregate grant date fair value of options granted during the fiscal year, computed in accordance with FASB ASC Topic 718.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beneficial ownership of our equity interests as of March 27, 2026 by:</w:t>
      </w:r>
    </w:p>
    <w:p>
      <w:pPr>
        <w:spacing w:after="0" w:line="117" w:lineRule="exact"/>
        <w:rPr>
          <w:sz w:val="20"/>
          <w:szCs w:val="20"/>
          <w:color w:val="auto"/>
        </w:rPr>
      </w:pPr>
    </w:p>
    <w:p>
      <w:pPr>
        <w:ind w:left="720" w:right="720"/>
        <w:spacing w:after="0" w:line="500" w:lineRule="auto"/>
        <w:rPr>
          <w:sz w:val="20"/>
          <w:szCs w:val="20"/>
          <w:color w:val="auto"/>
        </w:rPr>
      </w:pPr>
      <w:r>
        <w:rPr>
          <w:rFonts w:ascii="Times New Roman" w:cs="Times New Roman" w:eastAsia="Times New Roman" w:hAnsi="Times New Roman"/>
          <w:sz w:val="18"/>
          <w:szCs w:val="18"/>
          <w:color w:val="auto"/>
        </w:rPr>
        <w:t>each stockholder or group of stockholders known by us to be the beneficial owner of more than 5% of any class of our voting securities; our Named Executive Officers;</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each of our directors; and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our executive officers and directors as a group.</w:t>
      </w:r>
    </w:p>
    <w:p>
      <w:pPr>
        <w:sectPr>
          <w:pgSz w:w="11900" w:h="16838" w:orient="portrait"/>
          <w:cols w:equalWidth="0" w:num="1">
            <w:col w:w="11240"/>
          </w:cols>
          <w:pgMar w:left="320" w:top="121" w:right="339" w:bottom="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thus, represents voting or investment power with respect to our securities as of March 30, 2026. In computing the number and percentage of shares beneficially owned by a person, shares that may be acquired by such person within 60 days of March 30, 2026 are counted as outstanding, while these shares are not counted as outstanding for computing the percentage ownership of any other person. Unless otherwise indicated below, to our knowledge, the persons and entities named in the table have sole voting and sole investment power with respect to all equity interests beneficially owned, subject to community property laws where applicable.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r>
              <w:rPr>
                <w:rFonts w:ascii="Times New Roman" w:cs="Times New Roman" w:eastAsia="Times New Roman" w:hAnsi="Times New Roman"/>
                <w:sz w:val="24"/>
                <w:szCs w:val="24"/>
                <w:b w:val="1"/>
                <w:bCs w:val="1"/>
                <w:color w:val="auto"/>
                <w:vertAlign w:val="superscript"/>
              </w:rPr>
              <w:t>(1)</w:t>
            </w:r>
          </w:p>
        </w:tc>
        <w:tc>
          <w:tcPr>
            <w:tcW w:w="4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040" w:type="dxa"/>
            <w:vAlign w:val="bottom"/>
            <w:gridSpan w:val="2"/>
            <w:vMerge w:val="continue"/>
          </w:tcPr>
          <w:p>
            <w:pPr>
              <w:spacing w:after="0"/>
              <w:rPr>
                <w:sz w:val="21"/>
                <w:szCs w:val="21"/>
                <w:color w:val="auto"/>
              </w:rPr>
            </w:pP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Percent of Class</w:t>
            </w:r>
          </w:p>
        </w:tc>
        <w:tc>
          <w:tcPr>
            <w:tcW w:w="0" w:type="dxa"/>
            <w:vAlign w:val="bottom"/>
          </w:tcPr>
          <w:p>
            <w:pPr>
              <w:spacing w:after="0"/>
              <w:rPr>
                <w:sz w:val="1"/>
                <w:szCs w:val="1"/>
                <w:color w:val="auto"/>
              </w:rPr>
            </w:pPr>
          </w:p>
        </w:tc>
      </w:tr>
      <w:tr>
        <w:trPr>
          <w:trHeight w:val="216"/>
        </w:trPr>
        <w:tc>
          <w:tcPr>
            <w:tcW w:w="382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220" w:type="dxa"/>
            <w:vAlign w:val="bottom"/>
          </w:tcPr>
          <w:p>
            <w:pPr>
              <w:spacing w:after="0"/>
              <w:rPr>
                <w:sz w:val="18"/>
                <w:szCs w:val="18"/>
                <w:color w:val="auto"/>
              </w:rPr>
            </w:pPr>
          </w:p>
        </w:tc>
        <w:tc>
          <w:tcPr>
            <w:tcW w:w="4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Geoffrey Dow</w:t>
            </w:r>
          </w:p>
        </w:tc>
        <w:tc>
          <w:tcPr>
            <w:tcW w:w="4460" w:type="dxa"/>
            <w:vAlign w:val="bottom"/>
            <w:gridSpan w:val="2"/>
            <w:shd w:val="clear" w:color="auto" w:fill="CCECFF"/>
          </w:tcPr>
          <w:p>
            <w:pPr>
              <w:jc w:val="center"/>
              <w:ind w:righ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27,825(2)</w:t>
            </w:r>
          </w:p>
        </w:tc>
        <w:tc>
          <w:tcPr>
            <w:tcW w:w="100" w:type="dxa"/>
            <w:vAlign w:val="bottom"/>
            <w:shd w:val="clear" w:color="auto" w:fill="CCECFF"/>
          </w:tcPr>
          <w:p>
            <w:pPr>
              <w:spacing w:after="0"/>
              <w:rPr>
                <w:sz w:val="18"/>
                <w:szCs w:val="18"/>
                <w:color w:val="auto"/>
              </w:rPr>
            </w:pPr>
          </w:p>
        </w:tc>
        <w:tc>
          <w:tcPr>
            <w:tcW w:w="13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Tyrone Miller</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Kristen Landon</w:t>
            </w:r>
          </w:p>
        </w:tc>
        <w:tc>
          <w:tcPr>
            <w:tcW w:w="4460" w:type="dxa"/>
            <w:vAlign w:val="bottom"/>
            <w:gridSpan w:val="2"/>
            <w:shd w:val="clear" w:color="auto" w:fill="CCEC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Commercial Officer</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shd w:val="clear" w:color="auto" w:fill="CCECFF"/>
          </w:tcPr>
          <w:p>
            <w:pPr>
              <w:spacing w:after="0"/>
              <w:rPr>
                <w:sz w:val="18"/>
                <w:szCs w:val="18"/>
                <w:color w:val="auto"/>
              </w:rPr>
            </w:pPr>
          </w:p>
        </w:tc>
        <w:tc>
          <w:tcPr>
            <w:tcW w:w="1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Charles Allen</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2,131(5)</w:t>
            </w: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Cheryl Xu</w:t>
            </w:r>
          </w:p>
        </w:tc>
        <w:tc>
          <w:tcPr>
            <w:tcW w:w="4460" w:type="dxa"/>
            <w:vAlign w:val="bottom"/>
            <w:gridSpan w:val="2"/>
            <w:shd w:val="clear" w:color="auto" w:fill="CCEC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6,026(6)</w:t>
            </w:r>
          </w:p>
        </w:tc>
        <w:tc>
          <w:tcPr>
            <w:tcW w:w="100" w:type="dxa"/>
            <w:vAlign w:val="bottom"/>
            <w:shd w:val="clear" w:color="auto" w:fill="CCECFF"/>
          </w:tcPr>
          <w:p>
            <w:pPr>
              <w:spacing w:after="0"/>
              <w:rPr>
                <w:sz w:val="18"/>
                <w:szCs w:val="18"/>
                <w:color w:val="auto"/>
              </w:rPr>
            </w:pPr>
          </w:p>
        </w:tc>
        <w:tc>
          <w:tcPr>
            <w:tcW w:w="1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Stephen Toovey</w:t>
            </w:r>
          </w:p>
        </w:tc>
        <w:tc>
          <w:tcPr>
            <w:tcW w:w="4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2,131(7)</w:t>
            </w:r>
          </w:p>
        </w:tc>
        <w:tc>
          <w:tcPr>
            <w:tcW w:w="1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CFF"/>
          </w:tcPr>
          <w:p>
            <w:pPr>
              <w:ind w:left="180"/>
              <w:spacing w:after="0"/>
              <w:rPr>
                <w:sz w:val="20"/>
                <w:szCs w:val="20"/>
                <w:color w:val="auto"/>
              </w:rPr>
            </w:pPr>
            <w:r>
              <w:rPr>
                <w:rFonts w:ascii="Times New Roman" w:cs="Times New Roman" w:eastAsia="Times New Roman" w:hAnsi="Times New Roman"/>
                <w:sz w:val="18"/>
                <w:szCs w:val="18"/>
                <w:color w:val="auto"/>
              </w:rPr>
              <w:t>Paul Field</w:t>
            </w:r>
          </w:p>
        </w:tc>
        <w:tc>
          <w:tcPr>
            <w:tcW w:w="4460" w:type="dxa"/>
            <w:vAlign w:val="bottom"/>
            <w:gridSpan w:val="2"/>
            <w:shd w:val="clear" w:color="auto" w:fill="CCEC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Director</w:t>
            </w:r>
          </w:p>
        </w:tc>
        <w:tc>
          <w:tcPr>
            <w:tcW w:w="13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100" w:type="dxa"/>
            <w:vAlign w:val="bottom"/>
            <w:shd w:val="clear" w:color="auto" w:fill="CCECFF"/>
          </w:tcPr>
          <w:p>
            <w:pPr>
              <w:spacing w:after="0"/>
              <w:rPr>
                <w:sz w:val="18"/>
                <w:szCs w:val="18"/>
                <w:color w:val="auto"/>
              </w:rPr>
            </w:pPr>
          </w:p>
        </w:tc>
        <w:tc>
          <w:tcPr>
            <w:tcW w:w="1300" w:type="dxa"/>
            <w:vAlign w:val="bottom"/>
            <w:shd w:val="clear" w:color="auto" w:fill="CCEC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4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Officers and Directors as a Group (total of 7</w:t>
            </w:r>
          </w:p>
        </w:tc>
        <w:tc>
          <w:tcPr>
            <w:tcW w:w="4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persons)</w:t>
            </w:r>
          </w:p>
        </w:tc>
        <w:tc>
          <w:tcPr>
            <w:tcW w:w="4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45,016</w:t>
            </w: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1.69%</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jc w:val="both"/>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based on 2,636,788 shares of common stock issued and outstanding as of March 30, 2026 plus shares of common stock the person has the right to acquire within 60 days thereafter. Unless otherwise indicated, the principal address of the named executives and directors is c/o 1025 Connecticut Avenue NW Suite 1000, Washington, D.C. 20036. On January 20, 2026, the Company effectuated a 1-for-4 Reverse Stock Split of its outstanding common stock. Accordingly, all share numbers presented in this table have been adjusted to reflect the Reverse Stock Split.</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14,001 shares of our common stock held in the name of Geoffrey Dow, (ii) 2,780 shares of common stock held by the Geoffrey S. Dow Revocable Trust (the “Dow Trust”), of which Geoffrey Dow is the trustee and has control over the voting and disposition of the shares of common stock held by the Dow Trust, (iii) 44 shares of common stock issuable upon exercise of warrants issued to the Geoffrey S. Dow Revocable Trust, (iv) 500 shares underlying fully vested options exercisable into common stock at a per share exercise price of $240.00, and (v) 10,500 shares underlying fully vested options exercisable into common stock at a per share exercise price of $26.20.</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1,319 shares of our common stock held in the name of Tyrone Miller, (ii) 400 shares underlying fully vested options exercisable into common stock at a per share exercise price of $240.00 and (iii) 1,500 shares underlying fully vested options exercisable into common stock at a per share exercise price of $26.20.</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Landon beneficially owns a total of 1,553 shares of common stock, of which includes (i) 1,135 shares of common stock held in the name of Ms. Landon, and (ii) 418 shares underlying fully vested options exercisable into common stock at a per share exercise price of $27.40.</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Allen beneficially owns a total of 2,131 shares of common stock, of which includes (i) 59 shares of common stock held in the name of Mr. Allen,</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641"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shares underlying fully vested options exercisable into common stock at a per share exercise price of $1,272.00, and (iii) 2,000 shares underlying fully vested options exercisable into common stock at a per share exercise price of $5.84.</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Xu beneficially owns a total of 6,026 shares of common stock, of which includes (i) 3,954 shares of common stock held in the name of Ms. Xu,</w:t>
      </w:r>
    </w:p>
    <w:p>
      <w:pPr>
        <w:spacing w:after="0" w:line="27" w:lineRule="exact"/>
        <w:rPr>
          <w:rFonts w:ascii="Times New Roman" w:cs="Times New Roman" w:eastAsia="Times New Roman" w:hAnsi="Times New Roman"/>
          <w:sz w:val="18"/>
          <w:szCs w:val="18"/>
          <w:color w:val="auto"/>
        </w:rPr>
      </w:pPr>
    </w:p>
    <w:p>
      <w:pPr>
        <w:ind w:left="340" w:right="20" w:hanging="8"/>
        <w:spacing w:after="0" w:line="260" w:lineRule="auto"/>
        <w:tabs>
          <w:tab w:leader="none" w:pos="6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 shares underlying fully vested options exercisable into common stock at a per share exercise price of $1,272.00, and (iii) 2,000 shares underlying fully vested options exercisable into common stock at a per share exercise price of $5.84.</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Toovey beneficially owns a total of 2,131 shares of common stock, of which includes (i) 59 shares of common stock held in the name of Mr. Toovey, (ii) 72 shares underlying fully vested options exercisable into common stock at a per share exercise price of $1,272.00, and (iii) 2,000 shares underlying fully vested options exercisable into common stock at a per share exercise price of $5.84.</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Field beneficially owns a total of 2,131 shares of common stock, of which includes (i) 42 shares of common stock held by the Field Family Trust, of which Mr. Field is a trustee and has control over the voting and disposition of the shares of common stock held by the Field Family Trust, (ii) 17 shares of common stock held in the name of Mr. Field, (iii) 72 shares underlying fully vested options exercisable into common stock at a per share exercise price of $1,272.00, and (iv) 2,000 shares underlying fully vested options exercisable into common stock at a per share exercise price of $5.84.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 Information</w:t>
      </w:r>
    </w:p>
    <w:p>
      <w:pPr>
        <w:spacing w:after="0" w:line="227"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color w:val="auto"/>
        </w:rPr>
        <w:t>See Part II, Item 5 “</w:t>
      </w:r>
      <w:r>
        <w:rPr>
          <w:rFonts w:ascii="Times New Roman" w:cs="Times New Roman" w:eastAsia="Times New Roman" w:hAnsi="Times New Roman"/>
          <w:sz w:val="18"/>
          <w:szCs w:val="18"/>
          <w:i w:val="1"/>
          <w:iCs w:val="1"/>
          <w:color w:val="auto"/>
        </w:rPr>
        <w:t>Market for Registrant’s Common Equity, Related Stockholder Matters and Issuer Purchases of Equity Securities</w:t>
      </w:r>
      <w:r>
        <w:rPr>
          <w:rFonts w:ascii="Times New Roman" w:cs="Times New Roman" w:eastAsia="Times New Roman" w:hAnsi="Times New Roman"/>
          <w:sz w:val="18"/>
          <w:szCs w:val="18"/>
          <w:color w:val="auto"/>
        </w:rPr>
        <w:t>” of this Annual Report on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arrangements, to our knowledge, including any pledge by any person of securities of the Company, the operation of which may at a subsequent date result in a change in control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21" w:right="339" w:bottom="2" w:gutter="0" w:footer="0" w:header="0"/>
        </w:sectPr>
      </w:pPr>
    </w:p>
    <w:bookmarkStart w:id="70" w:name="page71"/>
    <w:bookmarkEnd w:id="70"/>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we engaged RBSM LLP as our independent registered public accounting firm.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we incurred fees, as discussed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Fiscal Year Ended</w:t>
            </w:r>
          </w:p>
        </w:tc>
      </w:tr>
      <w:tr>
        <w:trPr>
          <w:trHeight w:val="245"/>
        </w:trPr>
        <w:tc>
          <w:tcPr>
            <w:tcW w:w="85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1"/>
                <w:szCs w:val="21"/>
                <w:color w:val="auto"/>
              </w:rPr>
            </w:pPr>
          </w:p>
        </w:tc>
      </w:tr>
      <w:tr>
        <w:trPr>
          <w:trHeight w:val="223"/>
        </w:trPr>
        <w:tc>
          <w:tcPr>
            <w:tcW w:w="8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16"/>
        </w:trPr>
        <w:tc>
          <w:tcPr>
            <w:tcW w:w="85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163,000</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163,069</w:t>
            </w:r>
          </w:p>
        </w:tc>
      </w:tr>
      <w:tr>
        <w:trPr>
          <w:trHeight w:val="229"/>
        </w:trPr>
        <w:tc>
          <w:tcPr>
            <w:tcW w:w="8540" w:type="dxa"/>
            <w:vAlign w:val="bottom"/>
          </w:tcPr>
          <w:p>
            <w:pPr>
              <w:spacing w:after="0" w:line="229"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116,576</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279,576</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223,069</w:t>
            </w:r>
          </w:p>
        </w:tc>
      </w:tr>
    </w:tbl>
    <w:p>
      <w:pPr>
        <w:spacing w:after="0" w:line="198" w:lineRule="exact"/>
        <w:rPr>
          <w:sz w:val="20"/>
          <w:szCs w:val="20"/>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relating to the audit of the Company’s annual consolidated financial statements and reviews of interim condensed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consisted of reviews of the Company’s registration statements, consents, and the completion of comfort letter procedures associated with the Company’s securities offerings.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policy is to pre-approve all audit and permissible non-audit services performed by the independent accountants. These services may include audit services, audit-related services, tax services and other services. Under our Audit Committee’s policy, pre-approval is generally provided for particular services or categories of services, including planned services, project-based services and routine consultations. In addition, the Audit Committee may also pre-approve particular services on a case-by-case basis. Our Audit Committee approved all services that our independent public accountants provided to us in the past two fiscal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1" w:lineRule="exact"/>
        <w:rPr>
          <w:sz w:val="20"/>
          <w:szCs w:val="20"/>
          <w:color w:val="auto"/>
        </w:rPr>
      </w:pPr>
    </w:p>
    <w:p>
      <w:pPr>
        <w:ind w:left="660" w:right="20" w:hanging="328"/>
        <w:spacing w:after="0" w:line="28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Statements</w:t>
      </w:r>
      <w:r>
        <w:rPr>
          <w:rFonts w:ascii="Times New Roman" w:cs="Times New Roman" w:eastAsia="Times New Roman" w:hAnsi="Times New Roman"/>
          <w:sz w:val="18"/>
          <w:szCs w:val="18"/>
          <w:color w:val="auto"/>
        </w:rPr>
        <w:t>: The following Financial Statements and Supplementary Data of 60 Degrees Pharmaceuticals, Inc. and the Report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Registered Public Accounting Firm included in Part II, Item 8:</w:t>
      </w:r>
    </w:p>
    <w:p>
      <w:pPr>
        <w:spacing w:after="0" w:line="15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Balance Sheets at December 31, 2025 and 2024;</w:t>
      </w:r>
    </w:p>
    <w:p>
      <w:pPr>
        <w:spacing w:after="0" w:line="225" w:lineRule="exact"/>
        <w:rPr>
          <w:rFonts w:ascii="Times New Roman" w:cs="Times New Roman" w:eastAsia="Times New Roman" w:hAnsi="Times New Roman"/>
          <w:sz w:val="18"/>
          <w:szCs w:val="18"/>
          <w:color w:val="auto"/>
        </w:rPr>
      </w:pPr>
    </w:p>
    <w:p>
      <w:pPr>
        <w:ind w:left="1040" w:right="126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Statements of Operations and Comprehensive Loss for the years ended December 31, 2025 and 2024; Audited Consolidated Statements of Shareholders’ Equity for the years ended December 31, 2025 and 2024;</w:t>
      </w:r>
    </w:p>
    <w:p>
      <w:pPr>
        <w:spacing w:after="0" w:line="1" w:lineRule="exact"/>
        <w:rPr>
          <w:rFonts w:ascii="Times New Roman" w:cs="Times New Roman" w:eastAsia="Times New Roman" w:hAnsi="Times New Roman"/>
          <w:sz w:val="18"/>
          <w:szCs w:val="18"/>
          <w:color w:val="auto"/>
        </w:rPr>
      </w:pPr>
    </w:p>
    <w:p>
      <w:pPr>
        <w:ind w:left="1040" w:right="276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Audited Consolidated Statements of Cash Flows for the years ended December 31, 2025 and 2024; and Notes to Audited Consolidated Financial Statements.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Previously Filed and</w:t>
            </w:r>
          </w:p>
        </w:tc>
        <w:tc>
          <w:tcPr>
            <w:tcW w:w="14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Incorporated by Reference</w:t>
            </w:r>
          </w:p>
        </w:tc>
        <w:tc>
          <w:tcPr>
            <w:tcW w:w="1440" w:type="dxa"/>
            <w:vAlign w:val="bottom"/>
          </w:tcPr>
          <w:p>
            <w:pPr>
              <w:spacing w:after="0"/>
              <w:rPr>
                <w:sz w:val="18"/>
                <w:szCs w:val="18"/>
                <w:color w:val="auto"/>
              </w:rPr>
            </w:pP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60" w:type="dxa"/>
            <w:vAlign w:val="bottom"/>
          </w:tcPr>
          <w:p>
            <w:pPr>
              <w:spacing w:after="0"/>
              <w:rPr>
                <w:sz w:val="21"/>
                <w:szCs w:val="21"/>
                <w:color w:val="auto"/>
              </w:rPr>
            </w:pPr>
          </w:p>
        </w:tc>
        <w:tc>
          <w:tcPr>
            <w:tcW w:w="5860" w:type="dxa"/>
            <w:vAlign w:val="bottom"/>
            <w:gridSpan w:val="9"/>
          </w:tcPr>
          <w:p>
            <w:pPr>
              <w:ind w:left="2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60" w:type="dxa"/>
            <w:vAlign w:val="bottom"/>
          </w:tcPr>
          <w:p>
            <w:pPr>
              <w:spacing w:after="0"/>
              <w:rPr>
                <w:sz w:val="21"/>
                <w:szCs w:val="21"/>
                <w:color w:val="auto"/>
              </w:rPr>
            </w:pPr>
          </w:p>
        </w:tc>
        <w:tc>
          <w:tcPr>
            <w:tcW w:w="26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herein: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Date Filed:</w:t>
            </w:r>
          </w:p>
        </w:tc>
      </w:tr>
      <w:tr>
        <w:trPr>
          <w:trHeight w:val="176"/>
        </w:trPr>
        <w:tc>
          <w:tcPr>
            <w:tcW w:w="100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CCEEFF"/>
            </w:tcBorders>
            <w:shd w:val="clear" w:color="auto" w:fill="CCEEFF"/>
          </w:tcPr>
          <w:p>
            <w:pPr>
              <w:spacing w:after="0"/>
              <w:rPr>
                <w:sz w:val="15"/>
                <w:szCs w:val="15"/>
                <w:color w:val="auto"/>
              </w:rPr>
            </w:pPr>
          </w:p>
        </w:tc>
        <w:tc>
          <w:tcPr>
            <w:tcW w:w="5860" w:type="dxa"/>
            <w:vAlign w:val="bottom"/>
            <w:tcBorders>
              <w:top w:val="single" w:sz="8" w:color="auto"/>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Certificate of Incorporation of the Registrant</w:t>
              </w:r>
            </w:hyperlink>
          </w:p>
        </w:tc>
        <w:tc>
          <w:tcPr>
            <w:tcW w:w="160" w:type="dxa"/>
            <w:vAlign w:val="bottom"/>
            <w:tcBorders>
              <w:top w:val="single" w:sz="8" w:color="CCEEFF"/>
            </w:tcBorders>
            <w:shd w:val="clear" w:color="auto" w:fill="CCEEFF"/>
          </w:tcPr>
          <w:p>
            <w:pPr>
              <w:spacing w:after="0"/>
              <w:rPr>
                <w:sz w:val="15"/>
                <w:szCs w:val="15"/>
                <w:color w:val="auto"/>
              </w:rPr>
            </w:pPr>
          </w:p>
        </w:tc>
        <w:tc>
          <w:tcPr>
            <w:tcW w:w="246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Exhibit 3.1 to Registration</w:t>
            </w:r>
          </w:p>
        </w:tc>
        <w:tc>
          <w:tcPr>
            <w:tcW w:w="1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r>
      <w:tr>
        <w:trPr>
          <w:trHeight w:val="218"/>
        </w:trPr>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Borders>
              <w:top w:val="single" w:sz="8" w:color="CCEEFF"/>
            </w:tcBorders>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333-269483)</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6020" w:type="dxa"/>
            <w:vAlign w:val="bottom"/>
            <w:gridSpan w:val="10"/>
          </w:tcPr>
          <w:p>
            <w:pPr>
              <w:ind w:left="160"/>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Certificate of Designation of Series A Preferred Stock</w:t>
              </w:r>
            </w:hyperlink>
          </w:p>
        </w:tc>
        <w:tc>
          <w:tcPr>
            <w:tcW w:w="27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3.2 to Registration</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r>
      <w:tr>
        <w:trPr>
          <w:trHeight w:val="218"/>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333-269483)</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602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Certificate of Correction to Certificate of Incorporation of the Registrant</w:t>
              </w:r>
            </w:hyperlink>
          </w:p>
        </w:tc>
        <w:tc>
          <w:tcPr>
            <w:tcW w:w="278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3.3 to Registration</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r>
      <w:tr>
        <w:trPr>
          <w:trHeight w:val="218"/>
        </w:trPr>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Borders>
              <w:top w:val="single" w:sz="8" w:color="CCEEFF"/>
            </w:tcBorders>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333-269483)</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6020" w:type="dxa"/>
            <w:vAlign w:val="bottom"/>
            <w:gridSpan w:val="10"/>
          </w:tcPr>
          <w:p>
            <w:pPr>
              <w:ind w:left="160"/>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Amended and Restated Bylaws of the Registrant</w:t>
              </w:r>
            </w:hyperlink>
          </w:p>
        </w:tc>
        <w:tc>
          <w:tcPr>
            <w:tcW w:w="27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3.4 to Registration</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r>
      <w:tr>
        <w:trPr>
          <w:trHeight w:val="218"/>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333-269483)</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602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Description of the Registrants’ Securities</w:t>
              </w:r>
            </w:hyperlink>
          </w:p>
        </w:tc>
        <w:tc>
          <w:tcPr>
            <w:tcW w:w="278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4.1 to Annual Report on</w:t>
            </w:r>
          </w:p>
        </w:tc>
        <w:tc>
          <w:tcPr>
            <w:tcW w:w="14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April 1, 2024</w:t>
            </w:r>
          </w:p>
        </w:tc>
      </w:tr>
      <w:tr>
        <w:trPr>
          <w:trHeight w:val="236"/>
        </w:trPr>
        <w:tc>
          <w:tcPr>
            <w:tcW w:w="10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960" w:type="dxa"/>
            <w:vAlign w:val="bottom"/>
            <w:tcBorders>
              <w:top w:val="single" w:sz="8" w:color="0000EE"/>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7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Form 10-K (File No: 001-41719)</w:t>
            </w:r>
          </w:p>
        </w:tc>
        <w:tc>
          <w:tcPr>
            <w:tcW w:w="1440" w:type="dxa"/>
            <w:vAlign w:val="bottom"/>
            <w:tcBorders>
              <w:top w:val="single" w:sz="8" w:color="CCEEFF"/>
            </w:tcBorders>
            <w:shd w:val="clear" w:color="auto" w:fill="CCEEFF"/>
          </w:tcPr>
          <w:p>
            <w:pPr>
              <w:spacing w:after="0"/>
              <w:rPr>
                <w:sz w:val="20"/>
                <w:szCs w:val="20"/>
                <w:color w:val="auto"/>
              </w:rPr>
            </w:pPr>
          </w:p>
        </w:tc>
      </w:tr>
      <w:tr>
        <w:trPr>
          <w:trHeight w:val="176"/>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6020" w:type="dxa"/>
            <w:vAlign w:val="bottom"/>
            <w:gridSpan w:val="10"/>
          </w:tcPr>
          <w:p>
            <w:pPr>
              <w:ind w:left="160"/>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Pre-Funded Warrant in January 2024 public offering</w:t>
              </w:r>
            </w:hyperlink>
          </w:p>
        </w:tc>
        <w:tc>
          <w:tcPr>
            <w:tcW w:w="27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4.2 to Registration</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22, 2024</w:t>
            </w:r>
          </w:p>
        </w:tc>
      </w:tr>
      <w:tr>
        <w:trPr>
          <w:trHeight w:val="218"/>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333-276641)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176"/>
        </w:trPr>
        <w:tc>
          <w:tcPr>
            <w:tcW w:w="10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6020" w:type="dxa"/>
            <w:vAlign w:val="bottom"/>
            <w:gridSpan w:val="10"/>
            <w:shd w:val="clear" w:color="auto" w:fill="CCEEFF"/>
          </w:tcPr>
          <w:p>
            <w:pPr>
              <w:ind w:left="160"/>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Representative Warrant in January 2024 public offering</w:t>
              </w:r>
            </w:hyperlink>
          </w:p>
        </w:tc>
        <w:tc>
          <w:tcPr>
            <w:tcW w:w="2780" w:type="dxa"/>
            <w:vAlign w:val="bottom"/>
            <w:gridSpan w:val="3"/>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4.3 to Registration</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22, 2024</w:t>
            </w:r>
          </w:p>
        </w:tc>
      </w:tr>
      <w:tr>
        <w:trPr>
          <w:trHeight w:val="218"/>
        </w:trPr>
        <w:tc>
          <w:tcPr>
            <w:tcW w:w="10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960" w:type="dxa"/>
            <w:vAlign w:val="bottom"/>
            <w:tcBorders>
              <w:top w:val="single" w:sz="8" w:color="0000EE"/>
            </w:tcBorders>
            <w:shd w:val="clear" w:color="auto" w:fill="CCEEFF"/>
          </w:tcPr>
          <w:p>
            <w:pPr>
              <w:spacing w:after="0"/>
              <w:rPr>
                <w:sz w:val="18"/>
                <w:szCs w:val="18"/>
                <w:color w:val="auto"/>
              </w:rPr>
            </w:pPr>
          </w:p>
        </w:tc>
        <w:tc>
          <w:tcPr>
            <w:tcW w:w="2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2780" w:type="dxa"/>
            <w:vAlign w:val="bottom"/>
            <w:tcBorders>
              <w:top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Borders>
              <w:top w:val="single" w:sz="8" w:color="CCEEFF"/>
            </w:tcBorders>
            <w:shd w:val="clear" w:color="auto" w:fill="CCEEFF"/>
          </w:tcPr>
          <w:p>
            <w:pPr>
              <w:spacing w:after="0"/>
              <w:rPr>
                <w:sz w:val="18"/>
                <w:szCs w:val="18"/>
                <w:color w:val="auto"/>
              </w:rPr>
            </w:pPr>
          </w:p>
        </w:tc>
      </w:tr>
      <w:tr>
        <w:trPr>
          <w:trHeight w:val="234"/>
        </w:trPr>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6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333-276641)</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5"/>
        </w:trPr>
        <w:tc>
          <w:tcPr>
            <w:tcW w:w="10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6020" w:type="dxa"/>
            <w:vAlign w:val="bottom"/>
            <w:gridSpan w:val="10"/>
          </w:tcPr>
          <w:p>
            <w:pPr>
              <w:ind w:left="160"/>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Warrant Agent Agreement in January 2024 public offering</w:t>
              </w:r>
            </w:hyperlink>
          </w:p>
        </w:tc>
        <w:tc>
          <w:tcPr>
            <w:tcW w:w="2780" w:type="dxa"/>
            <w:vAlign w:val="bottom"/>
            <w:gridSpan w:val="3"/>
          </w:tcPr>
          <w:p>
            <w:pPr>
              <w:ind w:left="160"/>
              <w:spacing w:after="0" w:line="176" w:lineRule="exact"/>
              <w:rPr>
                <w:sz w:val="20"/>
                <w:szCs w:val="20"/>
                <w:color w:val="auto"/>
              </w:rPr>
            </w:pPr>
            <w:r>
              <w:rPr>
                <w:rFonts w:ascii="Times New Roman" w:cs="Times New Roman" w:eastAsia="Times New Roman" w:hAnsi="Times New Roman"/>
                <w:sz w:val="18"/>
                <w:szCs w:val="18"/>
                <w:color w:val="auto"/>
              </w:rPr>
              <w:t>Exhibit 4.4 to Registration</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22, 2024</w:t>
            </w:r>
          </w:p>
        </w:tc>
      </w:tr>
      <w:tr>
        <w:trPr>
          <w:trHeight w:val="218"/>
        </w:trPr>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7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4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333-276641)</w:t>
            </w: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ectPr>
          <w:pgSz w:w="11900" w:h="16918" w:orient="portrait"/>
          <w:cols w:equalWidth="0" w:num="1">
            <w:col w:w="11240"/>
          </w:cols>
          <w:pgMar w:left="320" w:top="117" w:right="339" w:bottom="0" w:gutter="0" w:footer="0" w:header="0"/>
        </w:sectPr>
      </w:pPr>
    </w:p>
    <w:bookmarkStart w:id="71" w:name="page72"/>
    <w:bookmarkEnd w:id="7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10.1</w:t>
            </w:r>
          </w:p>
        </w:tc>
        <w:tc>
          <w:tcPr>
            <w:tcW w:w="5860" w:type="dxa"/>
            <w:vAlign w:val="bottom"/>
            <w:gridSpan w:val="6"/>
          </w:tcPr>
          <w:p>
            <w:pPr>
              <w:spacing w:after="0"/>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Securities Purchase Agreement dated as of May 19, 2022, by and between the</w:t>
              </w:r>
            </w:hyperlink>
          </w:p>
        </w:tc>
      </w:tr>
      <w:tr>
        <w:trPr>
          <w:trHeight w:val="196"/>
        </w:trPr>
        <w:tc>
          <w:tcPr>
            <w:tcW w:w="1160" w:type="dxa"/>
            <w:vAlign w:val="bottom"/>
          </w:tcPr>
          <w:p>
            <w:pPr>
              <w:spacing w:after="0"/>
              <w:rPr>
                <w:sz w:val="17"/>
                <w:szCs w:val="17"/>
                <w:color w:val="auto"/>
              </w:rPr>
            </w:pPr>
          </w:p>
        </w:tc>
        <w:tc>
          <w:tcPr>
            <w:tcW w:w="58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Registrant and Geoffrey Dow</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10.2</w:t>
            </w:r>
          </w:p>
        </w:tc>
        <w:tc>
          <w:tcPr>
            <w:tcW w:w="58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Common Stock Purchase Warrant dated as of May 19, 2022, issued by the</w:t>
              </w:r>
            </w:hyperlink>
          </w:p>
        </w:tc>
      </w:tr>
      <w:tr>
        <w:trPr>
          <w:trHeight w:val="196"/>
        </w:trPr>
        <w:tc>
          <w:tcPr>
            <w:tcW w:w="1160" w:type="dxa"/>
            <w:vAlign w:val="bottom"/>
          </w:tcPr>
          <w:p>
            <w:pPr>
              <w:spacing w:after="0"/>
              <w:rPr>
                <w:sz w:val="17"/>
                <w:szCs w:val="17"/>
                <w:color w:val="auto"/>
              </w:rPr>
            </w:pPr>
          </w:p>
        </w:tc>
        <w:tc>
          <w:tcPr>
            <w:tcW w:w="5860" w:type="dxa"/>
            <w:vAlign w:val="bottom"/>
            <w:gridSpan w:val="6"/>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Registrant to Geoffrey Dow, as assigned to the Geoffrey S. Dow Revocable Trust</w:t>
              </w:r>
            </w:hyperlink>
          </w:p>
        </w:tc>
      </w:tr>
      <w:tr>
        <w:trPr>
          <w:trHeight w:val="196"/>
        </w:trPr>
        <w:tc>
          <w:tcPr>
            <w:tcW w:w="1160" w:type="dxa"/>
            <w:vAlign w:val="bottom"/>
          </w:tcPr>
          <w:p>
            <w:pPr>
              <w:spacing w:after="0"/>
              <w:rPr>
                <w:sz w:val="17"/>
                <w:szCs w:val="17"/>
                <w:color w:val="auto"/>
              </w:rPr>
            </w:pPr>
          </w:p>
        </w:tc>
        <w:tc>
          <w:tcPr>
            <w:tcW w:w="584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dated August 27, 2018</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r>
      <w:tr>
        <w:trPr>
          <w:trHeight w:val="196"/>
        </w:trPr>
        <w:tc>
          <w:tcPr>
            <w:tcW w:w="1160" w:type="dxa"/>
            <w:vAlign w:val="bottom"/>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w w:val="95"/>
              </w:rPr>
              <w:t>10.3</w:t>
            </w:r>
          </w:p>
        </w:tc>
        <w:tc>
          <w:tcPr>
            <w:tcW w:w="53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Securities Purchase Agreement dated as of May 19, 2022, by and between</w:t>
              </w:r>
            </w:hyperlink>
          </w:p>
        </w:tc>
        <w:tc>
          <w:tcPr>
            <w:tcW w:w="52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2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39">
              <w:r>
                <w:rPr>
                  <w:rFonts w:ascii="Times New Roman" w:cs="Times New Roman" w:eastAsia="Times New Roman" w:hAnsi="Times New Roman"/>
                  <w:sz w:val="18"/>
                  <w:szCs w:val="18"/>
                  <w:color w:val="0000EE"/>
                  <w:w w:val="98"/>
                </w:rPr>
                <w:t>Registrant and Mountjoy Trust</w:t>
              </w:r>
            </w:hyperlink>
          </w:p>
        </w:tc>
        <w:tc>
          <w:tcPr>
            <w:tcW w:w="3640" w:type="dxa"/>
            <w:vAlign w:val="bottom"/>
            <w:gridSpan w:val="3"/>
          </w:tcPr>
          <w:p>
            <w:pPr>
              <w:spacing w:after="0"/>
              <w:rPr>
                <w:sz w:val="17"/>
                <w:szCs w:val="17"/>
                <w:color w:val="auto"/>
              </w:rPr>
            </w:pPr>
          </w:p>
        </w:tc>
      </w:tr>
      <w:tr>
        <w:trPr>
          <w:trHeight w:val="412"/>
        </w:trPr>
        <w:tc>
          <w:tcPr>
            <w:tcW w:w="11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95"/>
              </w:rPr>
              <w:t>10.4</w:t>
            </w:r>
          </w:p>
        </w:tc>
        <w:tc>
          <w:tcPr>
            <w:tcW w:w="53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r:id="rId140">
              <w:r>
                <w:rPr>
                  <w:rFonts w:ascii="Times New Roman" w:cs="Times New Roman" w:eastAsia="Times New Roman" w:hAnsi="Times New Roman"/>
                  <w:sz w:val="18"/>
                  <w:szCs w:val="18"/>
                  <w:color w:val="0000EE"/>
                  <w:w w:val="99"/>
                </w:rPr>
                <w:t>Common Stock Purchase Warrant dated as of May 19, 2022, issued by the</w:t>
              </w:r>
            </w:hyperlink>
          </w:p>
        </w:tc>
        <w:tc>
          <w:tcPr>
            <w:tcW w:w="520" w:type="dxa"/>
            <w:vAlign w:val="bottom"/>
            <w:gridSpan w:val="2"/>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40">
              <w:r>
                <w:rPr>
                  <w:rFonts w:ascii="Times New Roman" w:cs="Times New Roman" w:eastAsia="Times New Roman" w:hAnsi="Times New Roman"/>
                  <w:sz w:val="18"/>
                  <w:szCs w:val="18"/>
                  <w:color w:val="0000EE"/>
                  <w:w w:val="98"/>
                </w:rPr>
                <w:t>Registrant to Mountjoy Trust</w:t>
              </w:r>
            </w:hyperlink>
          </w:p>
        </w:tc>
        <w:tc>
          <w:tcPr>
            <w:tcW w:w="3740" w:type="dxa"/>
            <w:vAlign w:val="bottom"/>
            <w:gridSpan w:val="4"/>
          </w:tcPr>
          <w:p>
            <w:pPr>
              <w:spacing w:after="0"/>
              <w:rPr>
                <w:sz w:val="17"/>
                <w:szCs w:val="17"/>
                <w:color w:val="auto"/>
              </w:rPr>
            </w:pPr>
          </w:p>
        </w:tc>
      </w:tr>
      <w:tr>
        <w:trPr>
          <w:trHeight w:val="668"/>
        </w:trPr>
        <w:tc>
          <w:tcPr>
            <w:tcW w:w="1160" w:type="dxa"/>
            <w:vAlign w:val="bottom"/>
          </w:tcPr>
          <w:p>
            <w:pPr>
              <w:spacing w:after="0"/>
              <w:rPr>
                <w:sz w:val="24"/>
                <w:szCs w:val="24"/>
                <w:color w:val="auto"/>
              </w:rPr>
            </w:pPr>
          </w:p>
        </w:tc>
        <w:tc>
          <w:tcPr>
            <w:tcW w:w="5340" w:type="dxa"/>
            <w:vAlign w:val="bottom"/>
            <w:gridSpan w:val="4"/>
          </w:tcPr>
          <w:p>
            <w:pPr>
              <w:ind w:left="4380"/>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411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10.2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10.4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10.5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641" w:lineRule="exact"/>
        <w:rPr>
          <w:sz w:val="20"/>
          <w:szCs w:val="20"/>
          <w:color w:val="auto"/>
        </w:rPr>
      </w:pPr>
    </w:p>
    <w:p>
      <w:pPr>
        <w:sectPr>
          <w:pgSz w:w="11900" w:h="16900" w:orient="portrait"/>
          <w:cols w:equalWidth="0" w:num="2">
            <w:col w:w="7020" w:space="160"/>
            <w:col w:w="4060"/>
          </w:cols>
          <w:pgMar w:left="320" w:top="108" w:right="339" w:bottom="0" w:gutter="0" w:footer="0" w:header="0"/>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Securities Purchase Agreement dated as of May 24, 2022, by and between</w:t>
              </w:r>
            </w:hyperlink>
          </w:p>
        </w:tc>
        <w:tc>
          <w:tcPr>
            <w:tcW w:w="52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28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144">
              <w:r>
                <w:rPr>
                  <w:rFonts w:ascii="Times New Roman" w:cs="Times New Roman" w:eastAsia="Times New Roman" w:hAnsi="Times New Roman"/>
                  <w:sz w:val="18"/>
                  <w:szCs w:val="18"/>
                  <w:color w:val="0000EE"/>
                  <w:w w:val="99"/>
                </w:rPr>
                <w:t>Registrant and Bigger Capital Fund, LP</w:t>
              </w:r>
            </w:hyperlink>
          </w:p>
        </w:tc>
        <w:tc>
          <w:tcPr>
            <w:tcW w:w="3000" w:type="dxa"/>
            <w:vAlign w:val="bottom"/>
            <w:gridSpan w:val="11"/>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5">
              <w:r>
                <w:rPr>
                  <w:rFonts w:ascii="Times New Roman" w:cs="Times New Roman" w:eastAsia="Times New Roman" w:hAnsi="Times New Roman"/>
                  <w:sz w:val="18"/>
                  <w:szCs w:val="18"/>
                  <w:color w:val="0000EE"/>
                </w:rPr>
                <w:t>Common Stock Purchase Warrant dated as of May 24, 2022, issued by the</w:t>
              </w:r>
            </w:hyperlink>
          </w:p>
        </w:tc>
      </w:tr>
      <w:tr>
        <w:trPr>
          <w:trHeight w:val="196"/>
        </w:trPr>
        <w:tc>
          <w:tcPr>
            <w:tcW w:w="1160" w:type="dxa"/>
            <w:vAlign w:val="bottom"/>
          </w:tcPr>
          <w:p>
            <w:pPr>
              <w:spacing w:after="0"/>
              <w:rPr>
                <w:sz w:val="17"/>
                <w:szCs w:val="17"/>
                <w:color w:val="auto"/>
              </w:rPr>
            </w:pPr>
          </w:p>
        </w:tc>
        <w:tc>
          <w:tcPr>
            <w:tcW w:w="27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45">
              <w:r>
                <w:rPr>
                  <w:rFonts w:ascii="Times New Roman" w:cs="Times New Roman" w:eastAsia="Times New Roman" w:hAnsi="Times New Roman"/>
                  <w:sz w:val="18"/>
                  <w:szCs w:val="18"/>
                  <w:color w:val="0000EE"/>
                  <w:w w:val="99"/>
                </w:rPr>
                <w:t>Registrant to Bigger Capital Fund, LP</w:t>
              </w:r>
            </w:hyperlink>
          </w:p>
        </w:tc>
        <w:tc>
          <w:tcPr>
            <w:tcW w:w="3120" w:type="dxa"/>
            <w:vAlign w:val="bottom"/>
            <w:gridSpan w:val="12"/>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6">
              <w:r>
                <w:rPr>
                  <w:rFonts w:ascii="Times New Roman" w:cs="Times New Roman" w:eastAsia="Times New Roman" w:hAnsi="Times New Roman"/>
                  <w:sz w:val="18"/>
                  <w:szCs w:val="18"/>
                  <w:color w:val="0000EE"/>
                </w:rPr>
                <w:t>Securities Purchase Agreement dated as of May 24, 2022, by and between</w:t>
              </w:r>
            </w:hyperlink>
          </w:p>
        </w:tc>
      </w:tr>
      <w:tr>
        <w:trPr>
          <w:trHeight w:val="196"/>
        </w:trPr>
        <w:tc>
          <w:tcPr>
            <w:tcW w:w="1160" w:type="dxa"/>
            <w:vAlign w:val="bottom"/>
          </w:tcPr>
          <w:p>
            <w:pPr>
              <w:spacing w:after="0"/>
              <w:rPr>
                <w:sz w:val="17"/>
                <w:szCs w:val="17"/>
                <w:color w:val="auto"/>
              </w:rPr>
            </w:pPr>
          </w:p>
        </w:tc>
        <w:tc>
          <w:tcPr>
            <w:tcW w:w="32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46">
              <w:r>
                <w:rPr>
                  <w:rFonts w:ascii="Times New Roman" w:cs="Times New Roman" w:eastAsia="Times New Roman" w:hAnsi="Times New Roman"/>
                  <w:sz w:val="18"/>
                  <w:szCs w:val="18"/>
                  <w:color w:val="0000EE"/>
                  <w:w w:val="99"/>
                </w:rPr>
                <w:t>Registrant and Cavalry Investment Fund, LP</w:t>
              </w:r>
            </w:hyperlink>
          </w:p>
        </w:tc>
        <w:tc>
          <w:tcPr>
            <w:tcW w:w="2640" w:type="dxa"/>
            <w:vAlign w:val="bottom"/>
            <w:gridSpan w:val="9"/>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7">
              <w:r>
                <w:rPr>
                  <w:rFonts w:ascii="Times New Roman" w:cs="Times New Roman" w:eastAsia="Times New Roman" w:hAnsi="Times New Roman"/>
                  <w:sz w:val="18"/>
                  <w:szCs w:val="18"/>
                  <w:color w:val="0000EE"/>
                </w:rPr>
                <w:t>Common Stock Purchase Warrant dated as of May 24, 2022, issued by the</w:t>
              </w:r>
            </w:hyperlink>
          </w:p>
        </w:tc>
      </w:tr>
      <w:tr>
        <w:trPr>
          <w:trHeight w:val="196"/>
        </w:trPr>
        <w:tc>
          <w:tcPr>
            <w:tcW w:w="1160" w:type="dxa"/>
            <w:vAlign w:val="bottom"/>
          </w:tcPr>
          <w:p>
            <w:pPr>
              <w:spacing w:after="0"/>
              <w:rPr>
                <w:sz w:val="17"/>
                <w:szCs w:val="17"/>
                <w:color w:val="auto"/>
              </w:rPr>
            </w:pPr>
          </w:p>
        </w:tc>
        <w:tc>
          <w:tcPr>
            <w:tcW w:w="3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47">
              <w:r>
                <w:rPr>
                  <w:rFonts w:ascii="Times New Roman" w:cs="Times New Roman" w:eastAsia="Times New Roman" w:hAnsi="Times New Roman"/>
                  <w:sz w:val="18"/>
                  <w:szCs w:val="18"/>
                  <w:color w:val="0000EE"/>
                  <w:w w:val="99"/>
                </w:rPr>
                <w:t>Registrant to Cavalry Investment Fund, LP</w:t>
              </w:r>
            </w:hyperlink>
          </w:p>
        </w:tc>
        <w:tc>
          <w:tcPr>
            <w:tcW w:w="2760" w:type="dxa"/>
            <w:vAlign w:val="bottom"/>
            <w:gridSpan w:val="10"/>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8">
              <w:r>
                <w:rPr>
                  <w:rFonts w:ascii="Times New Roman" w:cs="Times New Roman" w:eastAsia="Times New Roman" w:hAnsi="Times New Roman"/>
                  <w:sz w:val="18"/>
                  <w:szCs w:val="18"/>
                  <w:color w:val="0000EE"/>
                </w:rPr>
                <w:t>Securities Purchase Agreement dated as of May 24, 2022, by and between</w:t>
              </w:r>
            </w:hyperlink>
          </w:p>
        </w:tc>
      </w:tr>
      <w:tr>
        <w:trPr>
          <w:trHeight w:val="196"/>
        </w:trPr>
        <w:tc>
          <w:tcPr>
            <w:tcW w:w="1160" w:type="dxa"/>
            <w:vAlign w:val="bottom"/>
          </w:tcPr>
          <w:p>
            <w:pPr>
              <w:spacing w:after="0"/>
              <w:rPr>
                <w:sz w:val="17"/>
                <w:szCs w:val="17"/>
                <w:color w:val="auto"/>
              </w:rPr>
            </w:pPr>
          </w:p>
        </w:tc>
        <w:tc>
          <w:tcPr>
            <w:tcW w:w="396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48">
              <w:r>
                <w:rPr>
                  <w:rFonts w:ascii="Times New Roman" w:cs="Times New Roman" w:eastAsia="Times New Roman" w:hAnsi="Times New Roman"/>
                  <w:sz w:val="18"/>
                  <w:szCs w:val="18"/>
                  <w:color w:val="0000EE"/>
                  <w:w w:val="98"/>
                </w:rPr>
                <w:t>Registrant and Walleye Opportunities Master Fund Ltd</w:t>
              </w:r>
            </w:hyperlink>
          </w:p>
        </w:tc>
        <w:tc>
          <w:tcPr>
            <w:tcW w:w="1900" w:type="dxa"/>
            <w:vAlign w:val="bottom"/>
            <w:gridSpan w:val="3"/>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Common Stock Purchase Warrant dated as of May 24, 2022, issued by the</w:t>
              </w:r>
            </w:hyperlink>
          </w:p>
        </w:tc>
      </w:tr>
      <w:tr>
        <w:trPr>
          <w:trHeight w:val="196"/>
        </w:trPr>
        <w:tc>
          <w:tcPr>
            <w:tcW w:w="1160" w:type="dxa"/>
            <w:vAlign w:val="bottom"/>
          </w:tcPr>
          <w:p>
            <w:pPr>
              <w:spacing w:after="0"/>
              <w:rPr>
                <w:sz w:val="17"/>
                <w:szCs w:val="17"/>
                <w:color w:val="auto"/>
              </w:rPr>
            </w:pPr>
          </w:p>
        </w:tc>
        <w:tc>
          <w:tcPr>
            <w:tcW w:w="38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49">
              <w:r>
                <w:rPr>
                  <w:rFonts w:ascii="Times New Roman" w:cs="Times New Roman" w:eastAsia="Times New Roman" w:hAnsi="Times New Roman"/>
                  <w:sz w:val="18"/>
                  <w:szCs w:val="18"/>
                  <w:color w:val="0000EE"/>
                  <w:w w:val="98"/>
                </w:rPr>
                <w:t>Registrant to Walleye Opportunities Master Fund Ltd</w:t>
              </w:r>
            </w:hyperlink>
          </w:p>
        </w:tc>
        <w:tc>
          <w:tcPr>
            <w:tcW w:w="2020" w:type="dxa"/>
            <w:vAlign w:val="bottom"/>
            <w:gridSpan w:val="4"/>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Inter-Institutional Agreement dated as of February 15, 2021, by the Registrant</w:t>
              </w:r>
            </w:hyperlink>
          </w:p>
        </w:tc>
      </w:tr>
      <w:tr>
        <w:trPr>
          <w:trHeight w:val="196"/>
        </w:trPr>
        <w:tc>
          <w:tcPr>
            <w:tcW w:w="1160" w:type="dxa"/>
            <w:vAlign w:val="bottom"/>
          </w:tcPr>
          <w:p>
            <w:pPr>
              <w:spacing w:after="0"/>
              <w:rPr>
                <w:sz w:val="17"/>
                <w:szCs w:val="17"/>
                <w:color w:val="auto"/>
              </w:rPr>
            </w:pPr>
          </w:p>
        </w:tc>
        <w:tc>
          <w:tcPr>
            <w:tcW w:w="36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50">
              <w:r>
                <w:rPr>
                  <w:rFonts w:ascii="Times New Roman" w:cs="Times New Roman" w:eastAsia="Times New Roman" w:hAnsi="Times New Roman"/>
                  <w:sz w:val="18"/>
                  <w:szCs w:val="18"/>
                  <w:color w:val="0000EE"/>
                  <w:w w:val="99"/>
                </w:rPr>
                <w:t>and Florida State University Research Foundation</w:t>
              </w:r>
            </w:hyperlink>
          </w:p>
        </w:tc>
        <w:tc>
          <w:tcPr>
            <w:tcW w:w="2260" w:type="dxa"/>
            <w:vAlign w:val="bottom"/>
            <w:gridSpan w:val="6"/>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Exclusive License Agreement dated as of September 15, 2016, between National</w:t>
              </w:r>
            </w:hyperlink>
          </w:p>
        </w:tc>
      </w:tr>
      <w:tr>
        <w:trPr>
          <w:trHeight w:val="196"/>
        </w:trPr>
        <w:tc>
          <w:tcPr>
            <w:tcW w:w="1160" w:type="dxa"/>
            <w:vAlign w:val="bottom"/>
          </w:tcPr>
          <w:p>
            <w:pPr>
              <w:spacing w:after="0"/>
              <w:rPr>
                <w:sz w:val="17"/>
                <w:szCs w:val="17"/>
                <w:color w:val="auto"/>
              </w:rPr>
            </w:pPr>
          </w:p>
        </w:tc>
        <w:tc>
          <w:tcPr>
            <w:tcW w:w="58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University of Singapore, Singapore Health Services Pte Ltd, the Registrant and</w:t>
              </w:r>
            </w:hyperlink>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1">
              <w:r>
                <w:rPr>
                  <w:rFonts w:ascii="Times New Roman" w:cs="Times New Roman" w:eastAsia="Times New Roman" w:hAnsi="Times New Roman"/>
                  <w:sz w:val="18"/>
                  <w:szCs w:val="18"/>
                  <w:color w:val="0000EE"/>
                  <w:w w:val="98"/>
                </w:rPr>
                <w:t>60P Australia Pty Ltd</w:t>
              </w:r>
            </w:hyperlink>
          </w:p>
        </w:tc>
        <w:tc>
          <w:tcPr>
            <w:tcW w:w="4300" w:type="dxa"/>
            <w:vAlign w:val="bottom"/>
            <w:gridSpan w:val="16"/>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58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Master Consultancy Agreement dated as of May 29, 2013, by and between the</w:t>
              </w:r>
            </w:hyperlink>
          </w:p>
        </w:tc>
      </w:tr>
      <w:tr>
        <w:trPr>
          <w:trHeight w:val="196"/>
        </w:trPr>
        <w:tc>
          <w:tcPr>
            <w:tcW w:w="1160" w:type="dxa"/>
            <w:vAlign w:val="bottom"/>
          </w:tcPr>
          <w:p>
            <w:pPr>
              <w:spacing w:after="0"/>
              <w:rPr>
                <w:sz w:val="17"/>
                <w:szCs w:val="17"/>
                <w:color w:val="auto"/>
              </w:rPr>
            </w:pPr>
          </w:p>
        </w:tc>
        <w:tc>
          <w:tcPr>
            <w:tcW w:w="5860" w:type="dxa"/>
            <w:vAlign w:val="bottom"/>
            <w:gridSpan w:val="18"/>
          </w:tcPr>
          <w:p>
            <w:pPr>
              <w:spacing w:after="0" w:line="196" w:lineRule="exact"/>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Registrant and BioIntelect Pty Ltd</w:t>
              </w:r>
            </w:hyperlink>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5860" w:type="dxa"/>
            <w:vAlign w:val="bottom"/>
            <w:gridSpan w:val="18"/>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Employment Agreement dated as of January 12, 2023, between the Registrant</w:t>
              </w:r>
            </w:hyperlink>
          </w:p>
        </w:tc>
      </w:tr>
      <w:tr>
        <w:trPr>
          <w:trHeight w:val="196"/>
        </w:trPr>
        <w:tc>
          <w:tcPr>
            <w:tcW w:w="1160" w:type="dxa"/>
            <w:vAlign w:val="bottom"/>
          </w:tcPr>
          <w:p>
            <w:pPr>
              <w:spacing w:after="0"/>
              <w:rPr>
                <w:sz w:val="17"/>
                <w:szCs w:val="17"/>
                <w:color w:val="auto"/>
              </w:rPr>
            </w:pPr>
          </w:p>
        </w:tc>
        <w:tc>
          <w:tcPr>
            <w:tcW w:w="58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and Geoffrey Dow</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5860" w:type="dxa"/>
            <w:vAlign w:val="bottom"/>
            <w:gridSpan w:val="18"/>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Employment Agreement dated as of January 12, 2023, between the Registrant</w:t>
              </w:r>
            </w:hyperlink>
          </w:p>
        </w:tc>
      </w:tr>
      <w:tr>
        <w:trPr>
          <w:trHeight w:val="196"/>
        </w:trPr>
        <w:tc>
          <w:tcPr>
            <w:tcW w:w="1160" w:type="dxa"/>
            <w:vAlign w:val="bottom"/>
          </w:tcPr>
          <w:p>
            <w:pPr>
              <w:spacing w:after="0"/>
              <w:rPr>
                <w:sz w:val="17"/>
                <w:szCs w:val="17"/>
                <w:color w:val="auto"/>
              </w:rPr>
            </w:pPr>
          </w:p>
        </w:tc>
        <w:tc>
          <w:tcPr>
            <w:tcW w:w="584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and Tyrone Miller</w:t>
              </w:r>
            </w:hyperlink>
          </w:p>
        </w:tc>
        <w:tc>
          <w:tcPr>
            <w:tcW w:w="2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Agreement and Plan of Merger dated as of June 1, 2022, by and between the</w:t>
              </w:r>
            </w:hyperlink>
          </w:p>
        </w:tc>
      </w:tr>
      <w:tr>
        <w:trPr>
          <w:trHeight w:val="196"/>
        </w:trPr>
        <w:tc>
          <w:tcPr>
            <w:tcW w:w="1160" w:type="dxa"/>
            <w:vAlign w:val="bottom"/>
          </w:tcPr>
          <w:p>
            <w:pPr>
              <w:spacing w:after="0"/>
              <w:rPr>
                <w:sz w:val="17"/>
                <w:szCs w:val="17"/>
                <w:color w:val="auto"/>
              </w:rPr>
            </w:pPr>
          </w:p>
        </w:tc>
        <w:tc>
          <w:tcPr>
            <w:tcW w:w="35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55">
              <w:r>
                <w:rPr>
                  <w:rFonts w:ascii="Times New Roman" w:cs="Times New Roman" w:eastAsia="Times New Roman" w:hAnsi="Times New Roman"/>
                  <w:sz w:val="18"/>
                  <w:szCs w:val="18"/>
                  <w:color w:val="0000EE"/>
                  <w:w w:val="99"/>
                </w:rPr>
                <w:t>Registrant and 60 Degrees Pharmaceuticals, LLC</w:t>
              </w:r>
            </w:hyperlink>
          </w:p>
        </w:tc>
        <w:tc>
          <w:tcPr>
            <w:tcW w:w="2300" w:type="dxa"/>
            <w:vAlign w:val="bottom"/>
            <w:gridSpan w:val="7"/>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Exclusive License Agreement dated as of May 30, 2014, between National</w:t>
              </w:r>
            </w:hyperlink>
          </w:p>
        </w:tc>
      </w:tr>
      <w:tr>
        <w:trPr>
          <w:trHeight w:val="196"/>
        </w:trPr>
        <w:tc>
          <w:tcPr>
            <w:tcW w:w="1160" w:type="dxa"/>
            <w:vAlign w:val="bottom"/>
          </w:tcPr>
          <w:p>
            <w:pPr>
              <w:spacing w:after="0"/>
              <w:rPr>
                <w:sz w:val="17"/>
                <w:szCs w:val="17"/>
                <w:color w:val="auto"/>
              </w:rPr>
            </w:pPr>
          </w:p>
        </w:tc>
        <w:tc>
          <w:tcPr>
            <w:tcW w:w="58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University of Singapore, Singapore Health Services Pte Ltd, the Registrant and</w:t>
              </w:r>
            </w:hyperlink>
          </w:p>
        </w:tc>
      </w:tr>
      <w:tr>
        <w:trPr>
          <w:trHeight w:val="196"/>
        </w:trPr>
        <w:tc>
          <w:tcPr>
            <w:tcW w:w="1160" w:type="dxa"/>
            <w:vAlign w:val="bottom"/>
          </w:tcPr>
          <w:p>
            <w:pPr>
              <w:spacing w:after="0"/>
              <w:rPr>
                <w:sz w:val="17"/>
                <w:szCs w:val="17"/>
                <w:color w:val="auto"/>
              </w:rPr>
            </w:pPr>
          </w:p>
        </w:tc>
        <w:tc>
          <w:tcPr>
            <w:tcW w:w="15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156">
              <w:r>
                <w:rPr>
                  <w:rFonts w:ascii="Times New Roman" w:cs="Times New Roman" w:eastAsia="Times New Roman" w:hAnsi="Times New Roman"/>
                  <w:sz w:val="18"/>
                  <w:szCs w:val="18"/>
                  <w:color w:val="0000EE"/>
                  <w:w w:val="98"/>
                </w:rPr>
                <w:t>60P Australia Pty Ltd</w:t>
              </w:r>
            </w:hyperlink>
          </w:p>
        </w:tc>
        <w:tc>
          <w:tcPr>
            <w:tcW w:w="4300" w:type="dxa"/>
            <w:vAlign w:val="bottom"/>
            <w:gridSpan w:val="16"/>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9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157">
              <w:r>
                <w:rPr>
                  <w:rFonts w:ascii="Times New Roman" w:cs="Times New Roman" w:eastAsia="Times New Roman" w:hAnsi="Times New Roman"/>
                  <w:sz w:val="18"/>
                  <w:szCs w:val="18"/>
                  <w:color w:val="0000EE"/>
                  <w:w w:val="98"/>
                </w:rPr>
                <w:t>2022 Equity Incentive Plan</w:t>
              </w:r>
            </w:hyperlink>
          </w:p>
        </w:tc>
        <w:tc>
          <w:tcPr>
            <w:tcW w:w="3900" w:type="dxa"/>
            <w:vAlign w:val="bottom"/>
            <w:gridSpan w:val="15"/>
          </w:tcPr>
          <w:p>
            <w:pPr>
              <w:spacing w:after="0"/>
              <w:rPr>
                <w:sz w:val="17"/>
                <w:szCs w:val="17"/>
                <w:color w:val="auto"/>
              </w:rPr>
            </w:pPr>
          </w:p>
        </w:tc>
      </w:tr>
      <w:tr>
        <w:trPr>
          <w:trHeight w:val="62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Securities Purchase Agreement dated as of May 8, 2023, by and between</w:t>
              </w:r>
            </w:hyperlink>
          </w:p>
        </w:tc>
      </w:tr>
      <w:tr>
        <w:trPr>
          <w:trHeight w:val="196"/>
        </w:trPr>
        <w:tc>
          <w:tcPr>
            <w:tcW w:w="1160" w:type="dxa"/>
            <w:vAlign w:val="bottom"/>
          </w:tcPr>
          <w:p>
            <w:pPr>
              <w:spacing w:after="0"/>
              <w:rPr>
                <w:sz w:val="17"/>
                <w:szCs w:val="17"/>
                <w:color w:val="auto"/>
              </w:rPr>
            </w:pPr>
          </w:p>
        </w:tc>
        <w:tc>
          <w:tcPr>
            <w:tcW w:w="3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Registrant and Cyberbahn Federal Solutions, LLC</w:t>
              </w:r>
            </w:hyperlink>
          </w:p>
        </w:tc>
        <w:tc>
          <w:tcPr>
            <w:tcW w:w="2240" w:type="dxa"/>
            <w:vAlign w:val="bottom"/>
            <w:gridSpan w:val="5"/>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5860" w:type="dxa"/>
            <w:vAlign w:val="bottom"/>
            <w:gridSpan w:val="18"/>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Common Stock Purchase Warrant dated as of May 8, 2023, issued by the</w:t>
              </w:r>
            </w:hyperlink>
          </w:p>
        </w:tc>
      </w:tr>
      <w:tr>
        <w:trPr>
          <w:trHeight w:val="196"/>
        </w:trPr>
        <w:tc>
          <w:tcPr>
            <w:tcW w:w="1160" w:type="dxa"/>
            <w:vAlign w:val="bottom"/>
          </w:tcPr>
          <w:p>
            <w:pPr>
              <w:spacing w:after="0"/>
              <w:rPr>
                <w:sz w:val="17"/>
                <w:szCs w:val="17"/>
                <w:color w:val="auto"/>
              </w:rPr>
            </w:pPr>
          </w:p>
        </w:tc>
        <w:tc>
          <w:tcPr>
            <w:tcW w:w="350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59">
              <w:r>
                <w:rPr>
                  <w:rFonts w:ascii="Times New Roman" w:cs="Times New Roman" w:eastAsia="Times New Roman" w:hAnsi="Times New Roman"/>
                  <w:sz w:val="18"/>
                  <w:szCs w:val="18"/>
                  <w:color w:val="0000EE"/>
                  <w:w w:val="99"/>
                </w:rPr>
                <w:t>Registrant to Cyberbahn Federal Solutions, LLC</w:t>
              </w:r>
            </w:hyperlink>
          </w:p>
        </w:tc>
        <w:tc>
          <w:tcPr>
            <w:tcW w:w="234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58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Securities Purchase Agreement dated as of May 8, 2023, by and between</w:t>
              </w:r>
            </w:hyperlink>
          </w:p>
        </w:tc>
      </w:tr>
      <w:tr>
        <w:trPr>
          <w:trHeight w:val="196"/>
        </w:trPr>
        <w:tc>
          <w:tcPr>
            <w:tcW w:w="1160" w:type="dxa"/>
            <w:vAlign w:val="bottom"/>
          </w:tcPr>
          <w:p>
            <w:pPr>
              <w:spacing w:after="0"/>
              <w:rPr>
                <w:sz w:val="17"/>
                <w:szCs w:val="17"/>
                <w:color w:val="auto"/>
              </w:rPr>
            </w:pPr>
          </w:p>
        </w:tc>
        <w:tc>
          <w:tcPr>
            <w:tcW w:w="24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Registrant and Ariana Bakery Inc</w:t>
              </w:r>
            </w:hyperlink>
          </w:p>
        </w:tc>
        <w:tc>
          <w:tcPr>
            <w:tcW w:w="3400" w:type="dxa"/>
            <w:vAlign w:val="bottom"/>
            <w:gridSpan w:val="13"/>
          </w:tcPr>
          <w:p>
            <w:pPr>
              <w:spacing w:after="0"/>
              <w:rPr>
                <w:sz w:val="17"/>
                <w:szCs w:val="17"/>
                <w:color w:val="auto"/>
              </w:rPr>
            </w:pPr>
          </w:p>
        </w:tc>
      </w:tr>
      <w:tr>
        <w:trPr>
          <w:trHeight w:val="41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5860" w:type="dxa"/>
            <w:vAlign w:val="bottom"/>
            <w:gridSpan w:val="18"/>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Common Stock Purchase Warrant dated as of May 8, 2023, issued by the</w:t>
              </w:r>
            </w:hyperlink>
          </w:p>
        </w:tc>
      </w:tr>
      <w:tr>
        <w:trPr>
          <w:trHeight w:val="196"/>
        </w:trPr>
        <w:tc>
          <w:tcPr>
            <w:tcW w:w="1160" w:type="dxa"/>
            <w:vAlign w:val="bottom"/>
          </w:tcPr>
          <w:p>
            <w:pPr>
              <w:spacing w:after="0"/>
              <w:rPr>
                <w:sz w:val="17"/>
                <w:szCs w:val="17"/>
                <w:color w:val="auto"/>
              </w:rPr>
            </w:pPr>
          </w:p>
        </w:tc>
        <w:tc>
          <w:tcPr>
            <w:tcW w:w="23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Registrant to Ariana Bakery Inc</w:t>
              </w:r>
            </w:hyperlink>
          </w:p>
        </w:tc>
        <w:tc>
          <w:tcPr>
            <w:tcW w:w="3540" w:type="dxa"/>
            <w:vAlign w:val="bottom"/>
            <w:tcBorders>
              <w:top w:val="single" w:sz="8" w:color="0000EE"/>
            </w:tcBorders>
            <w:gridSpan w:val="13"/>
          </w:tcPr>
          <w:p>
            <w:pPr>
              <w:spacing w:after="0"/>
              <w:rPr>
                <w:sz w:val="17"/>
                <w:szCs w:val="17"/>
                <w:color w:val="auto"/>
              </w:rPr>
            </w:pPr>
          </w:p>
        </w:tc>
        <w:tc>
          <w:tcPr>
            <w:tcW w:w="20" w:type="dxa"/>
            <w:vAlign w:val="bottom"/>
          </w:tcPr>
          <w:p>
            <w:pPr>
              <w:spacing w:after="0"/>
              <w:rPr>
                <w:sz w:val="17"/>
                <w:szCs w:val="17"/>
                <w:color w:val="auto"/>
              </w:rPr>
            </w:pPr>
          </w:p>
        </w:tc>
      </w:tr>
      <w:tr>
        <w:trPr>
          <w:trHeight w:val="668"/>
        </w:trPr>
        <w:tc>
          <w:tcPr>
            <w:tcW w:w="1160" w:type="dxa"/>
            <w:vAlign w:val="bottom"/>
          </w:tcPr>
          <w:p>
            <w:pPr>
              <w:spacing w:after="0"/>
              <w:rPr>
                <w:sz w:val="24"/>
                <w:szCs w:val="24"/>
                <w:color w:val="auto"/>
              </w:rPr>
            </w:pPr>
          </w:p>
        </w:tc>
        <w:tc>
          <w:tcPr>
            <w:tcW w:w="5340" w:type="dxa"/>
            <w:vAlign w:val="bottom"/>
            <w:gridSpan w:val="16"/>
          </w:tcPr>
          <w:p>
            <w:pPr>
              <w:ind w:left="4380"/>
              <w:spacing w:after="0"/>
              <w:rPr>
                <w:sz w:val="20"/>
                <w:szCs w:val="20"/>
                <w:color w:val="auto"/>
              </w:rPr>
            </w:pPr>
            <w:r>
              <w:rPr>
                <w:rFonts w:ascii="Times New Roman" w:cs="Times New Roman" w:eastAsia="Times New Roman" w:hAnsi="Times New Roman"/>
                <w:sz w:val="18"/>
                <w:szCs w:val="18"/>
                <w:color w:val="auto"/>
              </w:rPr>
              <w:t>68</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-7680325</wp:posOffset>
            </wp:positionV>
            <wp:extent cx="7132320" cy="411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-6857365</wp:posOffset>
            </wp:positionV>
            <wp:extent cx="7132320" cy="411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-6034405</wp:posOffset>
            </wp:positionV>
            <wp:extent cx="7132320" cy="411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4">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-5211445</wp:posOffset>
            </wp:positionV>
            <wp:extent cx="7132320" cy="411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5">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-4388485</wp:posOffset>
            </wp:positionV>
            <wp:extent cx="7132320" cy="411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6">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-3565525</wp:posOffset>
            </wp:positionV>
            <wp:extent cx="7132320"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7">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-2742565</wp:posOffset>
            </wp:positionV>
            <wp:extent cx="713232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411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411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0">
                      <a:extLst>
                        <a:ext uri="{28A0092B-C50C-407E-A947-70E740481C1C}"/>
                      </a:extLst>
                    </a:blip>
                    <a:srcRect/>
                    <a:stretch>
                      <a:fillRect/>
                    </a:stretch>
                  </pic:blipFill>
                  <pic:spPr bwMode="auto">
                    <a:xfrm>
                      <a:off x="0" y="0"/>
                      <a:ext cx="7132320" cy="4114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124460</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10.7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10.8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10.10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10.11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10.13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10.14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10.19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10.20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10.21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10.22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10.23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10.33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10.34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10.35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10.36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10.37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10.39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9"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8"/>
          <w:szCs w:val="18"/>
          <w:color w:val="auto"/>
        </w:rPr>
        <w:t>Exhibit 10.40 to Registration</w:t>
      </w:r>
      <w:r>
        <w:rPr>
          <w:sz w:val="20"/>
          <w:szCs w:val="20"/>
          <w:color w:val="auto"/>
        </w:rPr>
        <w:tab/>
      </w:r>
      <w:r>
        <w:rPr>
          <w:rFonts w:ascii="Times New Roman" w:cs="Times New Roman" w:eastAsia="Times New Roman" w:hAnsi="Times New Roman"/>
          <w:sz w:val="18"/>
          <w:szCs w:val="18"/>
          <w:color w:val="auto"/>
        </w:rPr>
        <w:t>January 31,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on Form S-1 (File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333-269483)</w:t>
      </w:r>
    </w:p>
    <w:p>
      <w:pPr>
        <w:spacing w:after="0" w:line="641" w:lineRule="exact"/>
        <w:rPr>
          <w:sz w:val="20"/>
          <w:szCs w:val="20"/>
          <w:color w:val="auto"/>
        </w:rPr>
      </w:pPr>
    </w:p>
    <w:p>
      <w:pPr>
        <w:sectPr>
          <w:pgSz w:w="11900" w:h="16900" w:orient="portrait"/>
          <w:cols w:equalWidth="0" w:num="2">
            <w:col w:w="7020" w:space="160"/>
            <w:col w:w="4060"/>
          </w:cols>
          <w:pgMar w:left="320" w:top="108" w:right="339" w:bottom="0" w:gutter="0" w:footer="0" w:header="0"/>
          <w:type w:val="continuous"/>
        </w:sect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CEEFF"/>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10.23</w:t>
            </w:r>
          </w:p>
        </w:tc>
        <w:tc>
          <w:tcPr>
            <w:tcW w:w="5860" w:type="dxa"/>
            <w:vAlign w:val="bottom"/>
            <w:tcBorders>
              <w:bottom w:val="single" w:sz="8" w:color="0000EE"/>
            </w:tcBorders>
            <w:gridSpan w:val="2"/>
            <w:shd w:val="clear" w:color="auto" w:fill="CCEEFF"/>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Securities Purchase Agreement dated as of May 8, 2023, by and between</w:t>
              </w:r>
            </w:hyperlink>
          </w:p>
        </w:tc>
        <w:tc>
          <w:tcPr>
            <w:tcW w:w="80" w:type="dxa"/>
            <w:vAlign w:val="bottom"/>
            <w:tcBorders>
              <w:bottom w:val="single" w:sz="8" w:color="CCEEFF"/>
            </w:tcBorders>
            <w:shd w:val="clear" w:color="auto" w:fill="CCEEFF"/>
          </w:tcPr>
          <w:p>
            <w:pPr>
              <w:spacing w:after="0"/>
              <w:rPr>
                <w:sz w:val="17"/>
                <w:szCs w:val="17"/>
                <w:color w:val="auto"/>
              </w:rPr>
            </w:pPr>
          </w:p>
        </w:tc>
        <w:tc>
          <w:tcPr>
            <w:tcW w:w="26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Exhibit 10.42 to Registration</w:t>
            </w:r>
          </w:p>
        </w:tc>
        <w:tc>
          <w:tcPr>
            <w:tcW w:w="1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31, 2023</w:t>
            </w:r>
          </w:p>
        </w:tc>
      </w:tr>
      <w:tr>
        <w:trPr>
          <w:trHeight w:val="196"/>
        </w:trPr>
        <w:tc>
          <w:tcPr>
            <w:tcW w:w="1160" w:type="dxa"/>
            <w:vAlign w:val="bottom"/>
            <w:shd w:val="clear" w:color="auto" w:fill="CCEEFF"/>
          </w:tcPr>
          <w:p>
            <w:pPr>
              <w:spacing w:after="0"/>
              <w:rPr>
                <w:sz w:val="17"/>
                <w:szCs w:val="17"/>
                <w:color w:val="auto"/>
              </w:rPr>
            </w:pPr>
          </w:p>
        </w:tc>
        <w:tc>
          <w:tcPr>
            <w:tcW w:w="59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Registrant and Sabby Volatility Warrant Master Fund, Ltd.</w:t>
              </w:r>
            </w:hyperlink>
          </w:p>
        </w:tc>
        <w:tc>
          <w:tcPr>
            <w:tcW w:w="2620" w:type="dxa"/>
            <w:vAlign w:val="bottom"/>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shd w:val="clear" w:color="auto" w:fill="CCEEFF"/>
          </w:tcPr>
          <w:p>
            <w:pPr>
              <w:spacing w:after="0"/>
              <w:rPr>
                <w:sz w:val="17"/>
                <w:szCs w:val="17"/>
                <w:color w:val="auto"/>
              </w:rPr>
            </w:pPr>
          </w:p>
        </w:tc>
      </w:tr>
      <w:tr>
        <w:trPr>
          <w:trHeight w:val="110"/>
        </w:trPr>
        <w:tc>
          <w:tcPr>
            <w:tcW w:w="1160" w:type="dxa"/>
            <w:vAlign w:val="bottom"/>
            <w:tcBorders>
              <w:top w:val="single" w:sz="8" w:color="CCEEFF"/>
            </w:tcBorders>
            <w:shd w:val="clear" w:color="auto" w:fill="CCEEFF"/>
          </w:tcPr>
          <w:p>
            <w:pPr>
              <w:spacing w:after="0"/>
              <w:rPr>
                <w:sz w:val="9"/>
                <w:szCs w:val="9"/>
                <w:color w:val="auto"/>
              </w:rPr>
            </w:pPr>
          </w:p>
        </w:tc>
        <w:tc>
          <w:tcPr>
            <w:tcW w:w="4220" w:type="dxa"/>
            <w:vAlign w:val="bottom"/>
            <w:tcBorders>
              <w:top w:val="single" w:sz="8" w:color="0000EE"/>
            </w:tcBorders>
            <w:shd w:val="clear" w:color="auto" w:fill="CCEEFF"/>
          </w:tcPr>
          <w:p>
            <w:pPr>
              <w:spacing w:after="0"/>
              <w:rPr>
                <w:sz w:val="9"/>
                <w:szCs w:val="9"/>
                <w:color w:val="auto"/>
              </w:rPr>
            </w:pPr>
          </w:p>
        </w:tc>
        <w:tc>
          <w:tcPr>
            <w:tcW w:w="16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620" w:type="dxa"/>
            <w:vAlign w:val="bottom"/>
            <w:tcBorders>
              <w:top w:val="single" w:sz="8" w:color="CCEEFF"/>
            </w:tcBorders>
            <w:shd w:val="clear" w:color="auto" w:fill="CCEEFF"/>
          </w:tcPr>
          <w:p>
            <w:pPr>
              <w:spacing w:after="0"/>
              <w:rPr>
                <w:sz w:val="9"/>
                <w:szCs w:val="9"/>
                <w:color w:val="auto"/>
              </w:rPr>
            </w:pPr>
          </w:p>
        </w:tc>
        <w:tc>
          <w:tcPr>
            <w:tcW w:w="1520" w:type="dxa"/>
            <w:vAlign w:val="bottom"/>
            <w:tcBorders>
              <w:top w:val="single" w:sz="8" w:color="CCEEFF"/>
            </w:tcBorders>
            <w:shd w:val="clear" w:color="auto" w:fill="CCEEFF"/>
          </w:tcPr>
          <w:p>
            <w:pPr>
              <w:spacing w:after="0"/>
              <w:rPr>
                <w:sz w:val="9"/>
                <w:szCs w:val="9"/>
                <w:color w:val="auto"/>
              </w:rPr>
            </w:pPr>
          </w:p>
        </w:tc>
      </w:tr>
    </w:tbl>
    <w:p>
      <w:pPr>
        <w:sectPr>
          <w:pgSz w:w="11900" w:h="16900" w:orient="portrait"/>
          <w:cols w:equalWidth="0" w:num="1">
            <w:col w:w="11240"/>
          </w:cols>
          <w:pgMar w:left="320" w:top="108" w:right="339" w:bottom="0" w:gutter="0" w:footer="0" w:header="0"/>
          <w:type w:val="continuous"/>
        </w:sectPr>
      </w:pPr>
    </w:p>
    <w:bookmarkStart w:id="72" w:name="page73"/>
    <w:bookmarkEnd w:id="7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Common Stock Purchase Warrant dated as of May 8, 2023, issued by the</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10.43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Registrant to Sabby Volatility Warrant Master Fund, Ltd.</w:t>
              </w:r>
            </w:hyperlink>
          </w:p>
        </w:tc>
        <w:tc>
          <w:tcPr>
            <w:tcW w:w="120" w:type="dxa"/>
            <w:vAlign w:val="bottom"/>
            <w:gridSpan w:val="3"/>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118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584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Securities Purchase Agreement dated as of May 8, 2023, by and between</w:t>
              </w:r>
            </w:hyperlink>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10.45 to Registration</w:t>
            </w:r>
          </w:p>
        </w:tc>
        <w:tc>
          <w:tcPr>
            <w:tcW w:w="1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40" w:type="dxa"/>
            <w:vAlign w:val="bottom"/>
            <w:tcBorders>
              <w:right w:val="single" w:sz="8" w:color="CCEEFF"/>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Registrant and Steel Anderson</w:t>
              </w:r>
            </w:hyperlink>
          </w:p>
        </w:tc>
        <w:tc>
          <w:tcPr>
            <w:tcW w:w="260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Common Stock Purchase Warrant dated as of May 8, 2023, issued by the</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10.46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Registrant to Steel Anderson</w:t>
              </w:r>
            </w:hyperlink>
          </w:p>
        </w:tc>
        <w:tc>
          <w:tcPr>
            <w:tcW w:w="120" w:type="dxa"/>
            <w:vAlign w:val="bottom"/>
            <w:gridSpan w:val="3"/>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584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Securities Purchase Agreement dated as of May 8, 2023, by and between</w:t>
              </w:r>
            </w:hyperlink>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10.48 to Registration</w:t>
            </w:r>
          </w:p>
        </w:tc>
        <w:tc>
          <w:tcPr>
            <w:tcW w:w="1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40" w:type="dxa"/>
            <w:vAlign w:val="bottom"/>
            <w:tcBorders>
              <w:right w:val="single" w:sz="8" w:color="CCEEFF"/>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Registrant and Bixi Gao &amp; Ling Ling Wang</w:t>
              </w:r>
            </w:hyperlink>
          </w:p>
        </w:tc>
        <w:tc>
          <w:tcPr>
            <w:tcW w:w="260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Common Stock Purchase Warrant dated as of May 8, 2023, issued by the</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10.49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Registrant to Bixi Gao &amp; Ling Ling Wang</w:t>
              </w:r>
            </w:hyperlink>
          </w:p>
        </w:tc>
        <w:tc>
          <w:tcPr>
            <w:tcW w:w="120" w:type="dxa"/>
            <w:vAlign w:val="bottom"/>
            <w:gridSpan w:val="3"/>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Board of Directors Agreement dated as of November 28, 2022, as amended, by</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10.56 to Registration</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Borders>
              <w:top w:val="single" w:sz="8" w:color="CCEEFF"/>
              <w:right w:val="single" w:sz="8" w:color="CCEEFF"/>
            </w:tcBorders>
            <w:shd w:val="clear" w:color="auto" w:fill="CCEEFF"/>
          </w:tcPr>
          <w:p>
            <w:pPr>
              <w:spacing w:after="0"/>
              <w:rPr>
                <w:sz w:val="17"/>
                <w:szCs w:val="17"/>
                <w:color w:val="auto"/>
              </w:rPr>
            </w:pPr>
          </w:p>
        </w:tc>
        <w:tc>
          <w:tcPr>
            <w:tcW w:w="582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and between the Registrant and Charles Allen</w:t>
              </w:r>
            </w:hyperlink>
          </w:p>
        </w:tc>
        <w:tc>
          <w:tcPr>
            <w:tcW w:w="120" w:type="dxa"/>
            <w:vAlign w:val="bottom"/>
            <w:tcBorders>
              <w:top w:val="single" w:sz="8" w:color="CCEEFF"/>
              <w:right w:val="single" w:sz="8" w:color="CCEEFF"/>
            </w:tcBorders>
            <w:gridSpan w:val="3"/>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4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Board of Directors Agreement dated as of November 28, 2022, as amended, by</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10.57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and between the Registrant and Stephen Toovey</w:t>
              </w:r>
            </w:hyperlink>
          </w:p>
        </w:tc>
        <w:tc>
          <w:tcPr>
            <w:tcW w:w="120" w:type="dxa"/>
            <w:vAlign w:val="bottom"/>
            <w:gridSpan w:val="3"/>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10.31#</w:t>
            </w:r>
          </w:p>
        </w:tc>
        <w:tc>
          <w:tcPr>
            <w:tcW w:w="58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Board of Directors Agreement dated as of December 9, 2022, as amended, by</w:t>
              </w:r>
            </w:hyperlink>
          </w:p>
        </w:tc>
        <w:tc>
          <w:tcPr>
            <w:tcW w:w="1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10.58 to Registration</w:t>
            </w:r>
          </w:p>
        </w:tc>
        <w:tc>
          <w:tcPr>
            <w:tcW w:w="1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40" w:type="dxa"/>
            <w:vAlign w:val="bottom"/>
            <w:tcBorders>
              <w:right w:val="single" w:sz="8" w:color="CCEEFF"/>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and between the Registrant and Cheryl Xu</w:t>
              </w:r>
            </w:hyperlink>
          </w:p>
        </w:tc>
        <w:tc>
          <w:tcPr>
            <w:tcW w:w="260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10.32#</w:t>
            </w:r>
          </w:p>
        </w:tc>
        <w:tc>
          <w:tcPr>
            <w:tcW w:w="5840" w:type="dxa"/>
            <w:vAlign w:val="bottom"/>
            <w:tcBorders>
              <w:bottom w:val="single" w:sz="8" w:color="0000EE"/>
            </w:tcBorders>
            <w:gridSpan w:val="28"/>
          </w:tcPr>
          <w:p>
            <w:pPr>
              <w:spacing w:after="0" w:line="17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Board of Directors Agreement dated as of December 15, 2022, as amended, by</w:t>
              </w:r>
            </w:hyperlink>
          </w:p>
        </w:tc>
        <w:tc>
          <w:tcPr>
            <w:tcW w:w="100" w:type="dxa"/>
            <w:vAlign w:val="bottom"/>
          </w:tcPr>
          <w:p>
            <w:pPr>
              <w:spacing w:after="0"/>
              <w:rPr>
                <w:sz w:val="15"/>
                <w:szCs w:val="15"/>
                <w:color w:val="auto"/>
              </w:rPr>
            </w:pPr>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10.59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31, 2023</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940" w:type="dxa"/>
            <w:vAlign w:val="bottom"/>
            <w:gridSpan w:val="29"/>
          </w:tcPr>
          <w:p>
            <w:pPr>
              <w:spacing w:after="0" w:line="196" w:lineRule="exact"/>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and between the Registrant and Paul Field</w:t>
              </w:r>
            </w:hyperlink>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10.33</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Securities Purchase Agreement dated as of January 28, 2025, by and between the</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10.1 of the Current</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30, 2025</w:t>
            </w:r>
          </w:p>
        </w:tc>
        <w:tc>
          <w:tcPr>
            <w:tcW w:w="20" w:type="dxa"/>
            <w:vAlign w:val="bottom"/>
          </w:tcPr>
          <w:p>
            <w:pPr>
              <w:spacing w:after="0"/>
              <w:rPr>
                <w:sz w:val="15"/>
                <w:szCs w:val="15"/>
                <w:color w:val="auto"/>
              </w:rPr>
            </w:pPr>
          </w:p>
        </w:tc>
      </w:tr>
      <w:tr>
        <w:trPr>
          <w:trHeight w:val="196"/>
        </w:trPr>
        <w:tc>
          <w:tcPr>
            <w:tcW w:w="1180" w:type="dxa"/>
            <w:vAlign w:val="bottom"/>
            <w:tcBorders>
              <w:top w:val="single" w:sz="8" w:color="CCEEFF"/>
              <w:right w:val="single" w:sz="8" w:color="CCEEFF"/>
            </w:tcBorders>
            <w:shd w:val="clear" w:color="auto" w:fill="CCEEFF"/>
          </w:tcPr>
          <w:p>
            <w:pPr>
              <w:spacing w:after="0"/>
              <w:rPr>
                <w:sz w:val="17"/>
                <w:szCs w:val="17"/>
                <w:color w:val="auto"/>
              </w:rPr>
            </w:pPr>
          </w:p>
        </w:tc>
        <w:tc>
          <w:tcPr>
            <w:tcW w:w="582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Registrant and certain investors</w:t>
              </w:r>
            </w:hyperlink>
          </w:p>
        </w:tc>
        <w:tc>
          <w:tcPr>
            <w:tcW w:w="120" w:type="dxa"/>
            <w:vAlign w:val="bottom"/>
            <w:tcBorders>
              <w:top w:val="single" w:sz="8" w:color="CCEEFF"/>
              <w:right w:val="single" w:sz="8" w:color="CCEEFF"/>
            </w:tcBorders>
            <w:gridSpan w:val="3"/>
            <w:shd w:val="clear" w:color="auto" w:fill="CCEEFF"/>
          </w:tcPr>
          <w:p>
            <w:pPr>
              <w:spacing w:after="0"/>
              <w:rPr>
                <w:sz w:val="17"/>
                <w:szCs w:val="17"/>
                <w:color w:val="auto"/>
              </w:rPr>
            </w:pPr>
          </w:p>
        </w:tc>
        <w:tc>
          <w:tcPr>
            <w:tcW w:w="2600" w:type="dxa"/>
            <w:vAlign w:val="bottom"/>
            <w:tcBorders>
              <w:top w:val="single" w:sz="8" w:color="CCEEFF"/>
            </w:tcBorders>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10.34</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Form of Warrant</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4.1 of the Current Report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30, 2025</w:t>
            </w:r>
          </w:p>
        </w:tc>
        <w:tc>
          <w:tcPr>
            <w:tcW w:w="20" w:type="dxa"/>
            <w:vAlign w:val="bottom"/>
          </w:tcPr>
          <w:p>
            <w:pPr>
              <w:spacing w:after="0"/>
              <w:rPr>
                <w:sz w:val="15"/>
                <w:szCs w:val="15"/>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on Form 8-K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bottom w:val="single" w:sz="8" w:color="CCEEFF"/>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10.35</w:t>
            </w:r>
          </w:p>
        </w:tc>
        <w:tc>
          <w:tcPr>
            <w:tcW w:w="5840" w:type="dxa"/>
            <w:vAlign w:val="bottom"/>
            <w:tcBorders>
              <w:bottom w:val="single" w:sz="8" w:color="0000EE"/>
            </w:tcBorders>
            <w:gridSpan w:val="27"/>
            <w:shd w:val="clear" w:color="auto" w:fill="CCEEFF"/>
          </w:tcPr>
          <w:p>
            <w:pPr>
              <w:spacing w:after="0" w:line="17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Placement Agent Warrant dated as of January 28, 2025, issued by the Registrant</w:t>
              </w:r>
            </w:hyperlink>
          </w:p>
        </w:tc>
        <w:tc>
          <w:tcPr>
            <w:tcW w:w="100" w:type="dxa"/>
            <w:vAlign w:val="bottom"/>
            <w:tcBorders>
              <w:bottom w:val="single" w:sz="8" w:color="CCEEFF"/>
              <w:right w:val="single" w:sz="8" w:color="CCEEFF"/>
            </w:tcBorders>
            <w:gridSpan w:val="2"/>
            <w:shd w:val="clear" w:color="auto" w:fill="CCEEFF"/>
          </w:tcPr>
          <w:p>
            <w:pPr>
              <w:spacing w:after="0"/>
              <w:rPr>
                <w:sz w:val="15"/>
                <w:szCs w:val="15"/>
                <w:color w:val="auto"/>
              </w:rPr>
            </w:pPr>
          </w:p>
        </w:tc>
        <w:tc>
          <w:tcPr>
            <w:tcW w:w="2600" w:type="dxa"/>
            <w:vAlign w:val="bottom"/>
            <w:tcBorders>
              <w:bottom w:val="single" w:sz="8" w:color="CCEEFF"/>
            </w:tcBorders>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4.2 of the Company’s</w:t>
            </w:r>
          </w:p>
        </w:tc>
        <w:tc>
          <w:tcPr>
            <w:tcW w:w="15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30, 2025</w:t>
            </w:r>
          </w:p>
        </w:tc>
        <w:tc>
          <w:tcPr>
            <w:tcW w:w="20" w:type="dxa"/>
            <w:vAlign w:val="bottom"/>
          </w:tcPr>
          <w:p>
            <w:pPr>
              <w:spacing w:after="0"/>
              <w:rPr>
                <w:sz w:val="15"/>
                <w:szCs w:val="15"/>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40" w:type="dxa"/>
            <w:vAlign w:val="bottom"/>
            <w:tcBorders>
              <w:right w:val="single" w:sz="8" w:color="CCEEFF"/>
            </w:tcBorders>
            <w:gridSpan w:val="29"/>
            <w:shd w:val="clear" w:color="auto" w:fill="CCEEFF"/>
          </w:tcPr>
          <w:p>
            <w:pPr>
              <w:spacing w:after="0" w:line="196"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to the placement agent</w:t>
              </w:r>
            </w:hyperlink>
          </w:p>
        </w:tc>
        <w:tc>
          <w:tcPr>
            <w:tcW w:w="2600" w:type="dxa"/>
            <w:vAlign w:val="bottom"/>
            <w:shd w:val="clear" w:color="auto" w:fill="CCEEFF"/>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of Foreign Private Issuer</w:t>
            </w: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36"/>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on Form 8-K</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10.36</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Securities Purchase Agreement dated as of February 5, 2025, by and between the</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10.1 of the Current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February 6, 2025</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820" w:type="dxa"/>
            <w:vAlign w:val="bottom"/>
            <w:tcBorders>
              <w:top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Registrant and the investors</w:t>
              </w:r>
            </w:hyperlink>
          </w:p>
        </w:tc>
        <w:tc>
          <w:tcPr>
            <w:tcW w:w="120" w:type="dxa"/>
            <w:vAlign w:val="bottom"/>
            <w:gridSpan w:val="3"/>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10.37</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Form of Warrant</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4.1 of the Current Report</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February 6, 2025</w:t>
            </w:r>
          </w:p>
        </w:tc>
        <w:tc>
          <w:tcPr>
            <w:tcW w:w="20" w:type="dxa"/>
            <w:vAlign w:val="bottom"/>
          </w:tcPr>
          <w:p>
            <w:pPr>
              <w:spacing w:after="0"/>
              <w:rPr>
                <w:sz w:val="15"/>
                <w:szCs w:val="15"/>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on Form 8-K</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10.38</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Placement Agent Warrant dated as of January 28, 2025, issued by the Registrant</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4.2 of the Current Report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February 6, 2025</w:t>
            </w:r>
          </w:p>
        </w:tc>
        <w:tc>
          <w:tcPr>
            <w:tcW w:w="20" w:type="dxa"/>
            <w:vAlign w:val="bottom"/>
          </w:tcPr>
          <w:p>
            <w:pPr>
              <w:spacing w:after="0"/>
              <w:rPr>
                <w:sz w:val="15"/>
                <w:szCs w:val="15"/>
                <w:color w:val="auto"/>
              </w:rPr>
            </w:pPr>
          </w:p>
        </w:tc>
      </w:tr>
      <w:tr>
        <w:trPr>
          <w:trHeight w:val="196"/>
        </w:trPr>
        <w:tc>
          <w:tcPr>
            <w:tcW w:w="1180" w:type="dxa"/>
            <w:vAlign w:val="bottom"/>
          </w:tcPr>
          <w:p>
            <w:pPr>
              <w:spacing w:after="0"/>
              <w:rPr>
                <w:sz w:val="17"/>
                <w:szCs w:val="17"/>
                <w:color w:val="auto"/>
              </w:rPr>
            </w:pPr>
          </w:p>
        </w:tc>
        <w:tc>
          <w:tcPr>
            <w:tcW w:w="5740" w:type="dxa"/>
            <w:vAlign w:val="bottom"/>
            <w:tcBorders>
              <w:top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to the placement agent</w:t>
              </w:r>
            </w:hyperlink>
          </w:p>
        </w:tc>
        <w:tc>
          <w:tcPr>
            <w:tcW w:w="200" w:type="dxa"/>
            <w:vAlign w:val="bottom"/>
            <w:gridSpan w:val="4"/>
          </w:tcPr>
          <w:p>
            <w:pPr>
              <w:spacing w:after="0"/>
              <w:rPr>
                <w:sz w:val="17"/>
                <w:szCs w:val="17"/>
                <w:color w:val="auto"/>
              </w:rPr>
            </w:pPr>
          </w:p>
        </w:tc>
        <w:tc>
          <w:tcPr>
            <w:tcW w:w="26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on Form 8-K</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10.39</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Form of Securities Purchase Agreement</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10.1 of the Current</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220" w:type="dxa"/>
            <w:vAlign w:val="bottom"/>
            <w:tcBorders>
              <w:top w:val="single" w:sz="8" w:color="0000EE"/>
            </w:tcBorders>
            <w:shd w:val="clear" w:color="auto" w:fill="CCEEFF"/>
          </w:tcPr>
          <w:p>
            <w:pPr>
              <w:spacing w:after="0"/>
              <w:rPr>
                <w:sz w:val="20"/>
                <w:szCs w:val="20"/>
                <w:color w:val="auto"/>
              </w:rPr>
            </w:pPr>
          </w:p>
        </w:tc>
        <w:tc>
          <w:tcPr>
            <w:tcW w:w="3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10.40</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Form of Registration Rights Agreement</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10.2 of the Current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10.41</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Form of Pre-Funded Warrant</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10.3 of the Current</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6"/>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10.42</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Form of Series A Warrants</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10.4 of the Current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6"/>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10.43</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Form of Series B Warrants</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10.5 of the Current</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18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18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3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right w:val="single" w:sz="8" w:color="CCEEFF"/>
            </w:tcBorders>
            <w:shd w:val="clear" w:color="auto" w:fill="CCEEFF"/>
          </w:tcPr>
          <w:p>
            <w:pPr>
              <w:spacing w:after="0"/>
              <w:rPr>
                <w:sz w:val="20"/>
                <w:szCs w:val="20"/>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Borders>
              <w:top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10.44</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Placement Agent Warrant</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10.6 of the Current</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September 6, 2024</w:t>
            </w:r>
          </w:p>
        </w:tc>
        <w:tc>
          <w:tcPr>
            <w:tcW w:w="20" w:type="dxa"/>
            <w:vAlign w:val="bottom"/>
          </w:tcPr>
          <w:p>
            <w:pPr>
              <w:spacing w:after="0"/>
              <w:rPr>
                <w:sz w:val="15"/>
                <w:szCs w:val="15"/>
                <w:color w:val="auto"/>
              </w:rPr>
            </w:pPr>
          </w:p>
        </w:tc>
      </w:tr>
      <w:tr>
        <w:trPr>
          <w:trHeight w:val="237"/>
        </w:trPr>
        <w:tc>
          <w:tcPr>
            <w:tcW w:w="1180" w:type="dxa"/>
            <w:vAlign w:val="bottom"/>
          </w:tcPr>
          <w:p>
            <w:pPr>
              <w:spacing w:after="0"/>
              <w:rPr>
                <w:sz w:val="20"/>
                <w:szCs w:val="20"/>
                <w:color w:val="auto"/>
              </w:rPr>
            </w:pPr>
          </w:p>
        </w:tc>
        <w:tc>
          <w:tcPr>
            <w:tcW w:w="11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 on Form 8-K</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10.45</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Form of Pre-Funded Warrant in January 2024 public offering</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4.2 to Registration</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22, 2024</w:t>
            </w:r>
          </w:p>
        </w:tc>
        <w:tc>
          <w:tcPr>
            <w:tcW w:w="20" w:type="dxa"/>
            <w:vAlign w:val="bottom"/>
          </w:tcPr>
          <w:p>
            <w:pPr>
              <w:spacing w:after="0"/>
              <w:rPr>
                <w:sz w:val="15"/>
                <w:szCs w:val="15"/>
                <w:color w:val="auto"/>
              </w:rPr>
            </w:pPr>
          </w:p>
        </w:tc>
      </w:tr>
      <w:tr>
        <w:trPr>
          <w:trHeight w:val="218"/>
        </w:trPr>
        <w:tc>
          <w:tcPr>
            <w:tcW w:w="11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333-276641)</w:t>
            </w:r>
          </w:p>
        </w:tc>
        <w:tc>
          <w:tcPr>
            <w:tcW w:w="1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10.46</w:t>
            </w:r>
          </w:p>
        </w:tc>
        <w:tc>
          <w:tcPr>
            <w:tcW w:w="5940" w:type="dxa"/>
            <w:vAlign w:val="bottom"/>
            <w:gridSpan w:val="29"/>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Form of Representative Warrant in January 2024 public offering</w:t>
              </w:r>
            </w:hyperlink>
          </w:p>
        </w:tc>
        <w:tc>
          <w:tcPr>
            <w:tcW w:w="260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4.3 to Registration</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22, 2024</w:t>
            </w:r>
          </w:p>
        </w:tc>
        <w:tc>
          <w:tcPr>
            <w:tcW w:w="20" w:type="dxa"/>
            <w:vAlign w:val="bottom"/>
          </w:tcPr>
          <w:p>
            <w:pPr>
              <w:spacing w:after="0"/>
              <w:rPr>
                <w:sz w:val="15"/>
                <w:szCs w:val="15"/>
                <w:color w:val="auto"/>
              </w:rPr>
            </w:pPr>
          </w:p>
        </w:tc>
      </w:tr>
      <w:tr>
        <w:trPr>
          <w:trHeight w:val="218"/>
        </w:trPr>
        <w:tc>
          <w:tcPr>
            <w:tcW w:w="1180" w:type="dxa"/>
            <w:vAlign w:val="bottom"/>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333-276641</w:t>
            </w: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10.47</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Form of Warrant Agent Agreement in January 2024 public offering</w:t>
              </w:r>
            </w:hyperlink>
          </w:p>
        </w:tc>
        <w:tc>
          <w:tcPr>
            <w:tcW w:w="260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Exhibit 4.4 to Registration</w:t>
            </w:r>
          </w:p>
        </w:tc>
        <w:tc>
          <w:tcPr>
            <w:tcW w:w="15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January 22, 2024</w:t>
            </w:r>
          </w:p>
        </w:tc>
        <w:tc>
          <w:tcPr>
            <w:tcW w:w="20" w:type="dxa"/>
            <w:vAlign w:val="bottom"/>
          </w:tcPr>
          <w:p>
            <w:pPr>
              <w:spacing w:after="0"/>
              <w:rPr>
                <w:sz w:val="15"/>
                <w:szCs w:val="15"/>
                <w:color w:val="auto"/>
              </w:rPr>
            </w:pPr>
          </w:p>
        </w:tc>
      </w:tr>
      <w:tr>
        <w:trPr>
          <w:trHeight w:val="218"/>
        </w:trPr>
        <w:tc>
          <w:tcPr>
            <w:tcW w:w="11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333-276641)</w:t>
            </w:r>
          </w:p>
        </w:tc>
        <w:tc>
          <w:tcPr>
            <w:tcW w:w="1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180" w:type="dxa"/>
            <w:vAlign w:val="bottom"/>
          </w:tcPr>
          <w:p>
            <w:pPr>
              <w:spacing w:after="0"/>
              <w:rPr>
                <w:sz w:val="24"/>
                <w:szCs w:val="24"/>
                <w:color w:val="auto"/>
              </w:rPr>
            </w:pPr>
          </w:p>
        </w:tc>
        <w:tc>
          <w:tcPr>
            <w:tcW w:w="4600" w:type="dxa"/>
            <w:vAlign w:val="bottom"/>
            <w:gridSpan w:val="23"/>
          </w:tcPr>
          <w:p>
            <w:pPr>
              <w:jc w:val="right"/>
              <w:ind w:right="6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18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600" w:type="dxa"/>
            <w:vAlign w:val="bottom"/>
            <w:tcBorders>
              <w:bottom w:val="single" w:sz="8" w:color="9A9A9A"/>
            </w:tcBorders>
          </w:tcPr>
          <w:p>
            <w:pPr>
              <w:spacing w:after="0"/>
              <w:rPr>
                <w:sz w:val="19"/>
                <w:szCs w:val="19"/>
                <w:color w:val="auto"/>
              </w:rPr>
            </w:pPr>
          </w:p>
        </w:tc>
        <w:tc>
          <w:tcPr>
            <w:tcW w:w="15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r>
        <w:trPr>
          <w:trHeight w:val="216"/>
        </w:trPr>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Code of Conduct</w:t>
              </w:r>
            </w:hyperlink>
          </w:p>
        </w:tc>
        <w:tc>
          <w:tcPr>
            <w:tcW w:w="26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Exhibit 99.4 to Registration</w:t>
            </w:r>
          </w:p>
        </w:tc>
        <w:tc>
          <w:tcPr>
            <w:tcW w:w="1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January 31, 2023</w:t>
            </w:r>
          </w:p>
        </w:tc>
        <w:tc>
          <w:tcPr>
            <w:tcW w:w="20" w:type="dxa"/>
            <w:vAlign w:val="bottom"/>
          </w:tcPr>
          <w:p>
            <w:pPr>
              <w:spacing w:after="0"/>
              <w:rPr>
                <w:sz w:val="15"/>
                <w:szCs w:val="15"/>
                <w:color w:val="auto"/>
              </w:rPr>
            </w:pPr>
          </w:p>
        </w:tc>
      </w:tr>
      <w:tr>
        <w:trPr>
          <w:trHeight w:val="218"/>
        </w:trPr>
        <w:tc>
          <w:tcPr>
            <w:tcW w:w="11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59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Insider Trading Policy</w:t>
            </w:r>
          </w:p>
        </w:tc>
        <w:tc>
          <w:tcPr>
            <w:tcW w:w="260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18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5940" w:type="dxa"/>
            <w:vAlign w:val="bottom"/>
            <w:tcBorders>
              <w:right w:val="single" w:sz="8" w:color="CCEEFF"/>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List of Subsidiaries</w:t>
              </w:r>
            </w:hyperlink>
          </w:p>
        </w:tc>
        <w:tc>
          <w:tcPr>
            <w:tcW w:w="260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Exhibit 21.1 to Registration</w:t>
            </w:r>
          </w:p>
        </w:tc>
        <w:tc>
          <w:tcPr>
            <w:tcW w:w="1520" w:type="dxa"/>
            <w:vAlign w:val="bottom"/>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January 31, 2023</w:t>
            </w:r>
          </w:p>
        </w:tc>
        <w:tc>
          <w:tcPr>
            <w:tcW w:w="20" w:type="dxa"/>
            <w:vAlign w:val="bottom"/>
          </w:tcPr>
          <w:p>
            <w:pPr>
              <w:spacing w:after="0"/>
              <w:rPr>
                <w:sz w:val="15"/>
                <w:szCs w:val="15"/>
                <w:color w:val="auto"/>
              </w:rPr>
            </w:pPr>
          </w:p>
        </w:tc>
      </w:tr>
      <w:tr>
        <w:trPr>
          <w:trHeight w:val="218"/>
        </w:trPr>
        <w:tc>
          <w:tcPr>
            <w:tcW w:w="11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18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6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52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2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333-269483)</w:t>
            </w:r>
          </w:p>
        </w:tc>
        <w:tc>
          <w:tcPr>
            <w:tcW w:w="15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5940" w:type="dxa"/>
            <w:vAlign w:val="bottom"/>
            <w:gridSpan w:val="29"/>
          </w:tcPr>
          <w:p>
            <w:pPr>
              <w:spacing w:after="0" w:line="176" w:lineRule="exact"/>
              <w:rPr>
                <w:sz w:val="20"/>
                <w:szCs w:val="20"/>
                <w:color w:val="auto"/>
              </w:rPr>
            </w:pPr>
            <w:r>
              <w:rPr>
                <w:rFonts w:ascii="Times New Roman" w:cs="Times New Roman" w:eastAsia="Times New Roman" w:hAnsi="Times New Roman"/>
                <w:sz w:val="18"/>
                <w:szCs w:val="18"/>
                <w:color w:val="0000FF"/>
              </w:rPr>
              <w:t>Consent of RBSM LLP dated as of March 27, 2025</w:t>
            </w:r>
          </w:p>
        </w:tc>
        <w:tc>
          <w:tcPr>
            <w:tcW w:w="2600" w:type="dxa"/>
            <w:vAlign w:val="bottom"/>
          </w:tcPr>
          <w:p>
            <w:pPr>
              <w:ind w:left="1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180" w:type="dxa"/>
            <w:vAlign w:val="bottom"/>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5940" w:type="dxa"/>
            <w:vAlign w:val="bottom"/>
            <w:tcBorders>
              <w:right w:val="single" w:sz="8" w:color="CCEEFF"/>
            </w:tcBorders>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Principal Executive Officer filed pursuant to Exchange Act Rules</w:t>
            </w:r>
          </w:p>
        </w:tc>
        <w:tc>
          <w:tcPr>
            <w:tcW w:w="2600" w:type="dxa"/>
            <w:vAlign w:val="bottom"/>
            <w:shd w:val="clear" w:color="auto" w:fill="CCEEFF"/>
          </w:tcPr>
          <w:p>
            <w:pPr>
              <w:ind w:left="1300"/>
              <w:spacing w:after="0" w:line="176" w:lineRule="exact"/>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180" w:type="dxa"/>
            <w:vAlign w:val="bottom"/>
            <w:tcBorders>
              <w:right w:val="single" w:sz="8" w:color="0000EE"/>
            </w:tcBorders>
            <w:shd w:val="clear" w:color="auto" w:fill="CCEEFF"/>
          </w:tcPr>
          <w:p>
            <w:pPr>
              <w:spacing w:after="0" w:line="20" w:lineRule="exact"/>
              <w:rPr>
                <w:sz w:val="1"/>
                <w:szCs w:val="1"/>
                <w:color w:val="auto"/>
              </w:rPr>
            </w:pPr>
          </w:p>
        </w:tc>
        <w:tc>
          <w:tcPr>
            <w:tcW w:w="5940" w:type="dxa"/>
            <w:vAlign w:val="bottom"/>
            <w:tcBorders>
              <w:right w:val="single" w:sz="8" w:color="CCEEFF"/>
            </w:tcBorders>
            <w:gridSpan w:val="29"/>
            <w:shd w:val="clear" w:color="auto" w:fill="0000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40" w:type="dxa"/>
            <w:vAlign w:val="bottom"/>
            <w:tcBorders>
              <w:right w:val="single" w:sz="8" w:color="CCEEFF"/>
            </w:tcBorders>
            <w:gridSpan w:val="2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w:t>
            </w:r>
          </w:p>
        </w:tc>
        <w:tc>
          <w:tcPr>
            <w:tcW w:w="26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37"/>
        </w:trPr>
        <w:tc>
          <w:tcPr>
            <w:tcW w:w="1180" w:type="dxa"/>
            <w:vAlign w:val="bottom"/>
            <w:tcBorders>
              <w:top w:val="single" w:sz="8" w:color="CCEEFF"/>
              <w:right w:val="single" w:sz="8" w:color="CCEEFF"/>
            </w:tcBorders>
            <w:shd w:val="clear" w:color="auto" w:fill="CCEEFF"/>
          </w:tcPr>
          <w:p>
            <w:pPr>
              <w:spacing w:after="0"/>
              <w:rPr>
                <w:sz w:val="11"/>
                <w:szCs w:val="11"/>
                <w:color w:val="auto"/>
              </w:rPr>
            </w:pPr>
          </w:p>
        </w:tc>
        <w:tc>
          <w:tcPr>
            <w:tcW w:w="11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80" w:type="dxa"/>
            <w:vAlign w:val="bottom"/>
            <w:tcBorders>
              <w:top w:val="single" w:sz="8" w:color="0000FF"/>
            </w:tcBorders>
            <w:shd w:val="clear" w:color="auto" w:fill="CCEEFF"/>
          </w:tcPr>
          <w:p>
            <w:pPr>
              <w:spacing w:after="0"/>
              <w:rPr>
                <w:sz w:val="11"/>
                <w:szCs w:val="11"/>
                <w:color w:val="auto"/>
              </w:rPr>
            </w:pPr>
          </w:p>
        </w:tc>
        <w:tc>
          <w:tcPr>
            <w:tcW w:w="2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3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4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9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right w:val="single" w:sz="8" w:color="CCEEFF"/>
            </w:tcBorders>
            <w:shd w:val="clear" w:color="auto" w:fill="CCEEFF"/>
          </w:tcPr>
          <w:p>
            <w:pPr>
              <w:spacing w:after="0"/>
              <w:rPr>
                <w:sz w:val="11"/>
                <w:szCs w:val="11"/>
                <w:color w:val="auto"/>
              </w:rPr>
            </w:pPr>
          </w:p>
        </w:tc>
        <w:tc>
          <w:tcPr>
            <w:tcW w:w="26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-1612265</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-1612265</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0" w:orient="portrait"/>
          <w:cols w:equalWidth="0" w:num="1">
            <w:col w:w="11260"/>
          </w:cols>
          <w:pgMar w:left="320" w:top="140" w:right="319" w:bottom="0" w:gutter="0" w:footer="0" w:header="0"/>
        </w:sectPr>
      </w:pPr>
    </w:p>
    <w:bookmarkStart w:id="73" w:name="page74"/>
    <w:bookmarkEnd w:id="73"/>
    <w:p>
      <w:pPr>
        <w:spacing w:after="0" w:line="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u w:val="single" w:color="auto"/>
          <w:color w:val="0000FF"/>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1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31.2</w:t>
            </w:r>
          </w:p>
        </w:tc>
        <w:tc>
          <w:tcPr>
            <w:tcW w:w="5980" w:type="dxa"/>
            <w:vAlign w:val="bottom"/>
            <w:gridSpan w:val="8"/>
          </w:tcPr>
          <w:p>
            <w:pPr>
              <w:spacing w:after="0" w:line="203" w:lineRule="exact"/>
              <w:rPr>
                <w:sz w:val="20"/>
                <w:szCs w:val="20"/>
                <w:color w:val="auto"/>
              </w:rPr>
            </w:pPr>
            <w:r>
              <w:rPr>
                <w:rFonts w:ascii="Times New Roman" w:cs="Times New Roman" w:eastAsia="Times New Roman" w:hAnsi="Times New Roman"/>
                <w:sz w:val="18"/>
                <w:szCs w:val="18"/>
                <w:color w:val="0000FF"/>
              </w:rPr>
              <w:t>Certification of Principal Financial Officer filed pursuant to Exchange Act Rules</w:t>
            </w:r>
          </w:p>
        </w:tc>
        <w:tc>
          <w:tcPr>
            <w:tcW w:w="26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 Sarbanes-</w:t>
            </w:r>
          </w:p>
        </w:tc>
        <w:tc>
          <w:tcPr>
            <w:tcW w:w="2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598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Executive Officer furnished pursuant to 18 U.S.C. § 1350,</w:t>
            </w:r>
          </w:p>
        </w:tc>
        <w:tc>
          <w:tcPr>
            <w:tcW w:w="26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shd w:val="clear" w:color="auto" w:fill="CCEE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CCEEFF"/>
          </w:tcPr>
          <w:p>
            <w:pPr>
              <w:spacing w:after="0" w:line="20" w:lineRule="exact"/>
              <w:rPr>
                <w:sz w:val="1"/>
                <w:szCs w:val="1"/>
                <w:color w:val="auto"/>
              </w:rPr>
            </w:pPr>
          </w:p>
        </w:tc>
        <w:tc>
          <w:tcPr>
            <w:tcW w:w="26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right w:val="single" w:sz="8" w:color="CCEEFF"/>
            </w:tcBorders>
            <w:shd w:val="clear" w:color="auto" w:fill="CCEEFF"/>
          </w:tcPr>
          <w:p>
            <w:pPr>
              <w:spacing w:after="0"/>
              <w:rPr>
                <w:sz w:val="17"/>
                <w:szCs w:val="17"/>
                <w:color w:val="auto"/>
              </w:rPr>
            </w:pPr>
          </w:p>
        </w:tc>
        <w:tc>
          <w:tcPr>
            <w:tcW w:w="598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26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80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6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59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FF"/>
              </w:rPr>
              <w:t>Certification of Chief Financial Officer furnished pursuant to 18 U.S.C. § 1350,</w:t>
            </w:r>
          </w:p>
        </w:tc>
        <w:tc>
          <w:tcPr>
            <w:tcW w:w="26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80" w:type="dxa"/>
            <w:vAlign w:val="bottom"/>
            <w:tcBorders>
              <w:right w:val="single" w:sz="8" w:color="0000EE"/>
            </w:tcBorders>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59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as adopted pursuant to Section 906 of the Sarbanes-Oxley Act of 2002</w:t>
            </w:r>
          </w:p>
        </w:tc>
        <w:tc>
          <w:tcPr>
            <w:tcW w:w="26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180" w:type="dxa"/>
            <w:vAlign w:val="bottom"/>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598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Clawback Policy</w:t>
              </w:r>
            </w:hyperlink>
          </w:p>
        </w:tc>
        <w:tc>
          <w:tcPr>
            <w:tcW w:w="26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 97.1 to Annual Report on</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April 1, 2024</w:t>
            </w:r>
          </w:p>
        </w:tc>
        <w:tc>
          <w:tcPr>
            <w:tcW w:w="0" w:type="dxa"/>
            <w:vAlign w:val="bottom"/>
          </w:tcPr>
          <w:p>
            <w:pPr>
              <w:spacing w:after="0"/>
              <w:rPr>
                <w:sz w:val="1"/>
                <w:szCs w:val="1"/>
                <w:color w:val="auto"/>
              </w:rPr>
            </w:pPr>
          </w:p>
        </w:tc>
      </w:tr>
      <w:tr>
        <w:trPr>
          <w:trHeight w:val="237"/>
        </w:trPr>
        <w:tc>
          <w:tcPr>
            <w:tcW w:w="1180" w:type="dxa"/>
            <w:vAlign w:val="bottom"/>
            <w:tcBorders>
              <w:top w:val="single" w:sz="8" w:color="CCEEFF"/>
              <w:right w:val="single" w:sz="8" w:color="CCEEFF"/>
            </w:tcBorders>
            <w:shd w:val="clear" w:color="auto" w:fill="CCEEFF"/>
          </w:tcPr>
          <w:p>
            <w:pPr>
              <w:spacing w:after="0"/>
              <w:rPr>
                <w:sz w:val="20"/>
                <w:szCs w:val="20"/>
                <w:color w:val="auto"/>
              </w:rPr>
            </w:pPr>
          </w:p>
        </w:tc>
        <w:tc>
          <w:tcPr>
            <w:tcW w:w="12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left w:val="single" w:sz="8" w:color="CCEEFF"/>
            </w:tcBorders>
            <w:shd w:val="clear" w:color="auto" w:fill="CCEEFF"/>
          </w:tcPr>
          <w:p>
            <w:pPr>
              <w:spacing w:after="0"/>
              <w:rPr>
                <w:sz w:val="20"/>
                <w:szCs w:val="20"/>
                <w:color w:val="auto"/>
              </w:rPr>
            </w:pPr>
          </w:p>
        </w:tc>
        <w:tc>
          <w:tcPr>
            <w:tcW w:w="26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Form 10-K (File No: 001-41719</w:t>
            </w:r>
          </w:p>
        </w:tc>
        <w:tc>
          <w:tcPr>
            <w:tcW w:w="146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5980" w:type="dxa"/>
            <w:vAlign w:val="bottom"/>
            <w:gridSpan w:val="8"/>
          </w:tcPr>
          <w:p>
            <w:pPr>
              <w:spacing w:after="0" w:line="17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Audit Committee Charter</w:t>
              </w:r>
            </w:hyperlink>
          </w:p>
        </w:tc>
        <w:tc>
          <w:tcPr>
            <w:tcW w:w="26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 99.5 to Registration</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333-269483)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tcBorders>
              <w:right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5980" w:type="dxa"/>
            <w:vAlign w:val="bottom"/>
            <w:gridSpan w:val="8"/>
            <w:shd w:val="clear" w:color="auto" w:fill="CCEEFF"/>
          </w:tcPr>
          <w:p>
            <w:pPr>
              <w:spacing w:after="0" w:line="17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Compensation Committee Charter</w:t>
              </w:r>
            </w:hyperlink>
          </w:p>
        </w:tc>
        <w:tc>
          <w:tcPr>
            <w:tcW w:w="2620" w:type="dxa"/>
            <w:vAlign w:val="bottom"/>
            <w:shd w:val="clear" w:color="auto" w:fill="CCEEFF"/>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 99.6 to Registration</w:t>
            </w:r>
          </w:p>
        </w:tc>
        <w:tc>
          <w:tcPr>
            <w:tcW w:w="14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c>
          <w:tcPr>
            <w:tcW w:w="0" w:type="dxa"/>
            <w:vAlign w:val="bottom"/>
          </w:tcPr>
          <w:p>
            <w:pPr>
              <w:spacing w:after="0"/>
              <w:rPr>
                <w:sz w:val="1"/>
                <w:szCs w:val="1"/>
                <w:color w:val="auto"/>
              </w:rPr>
            </w:pPr>
          </w:p>
        </w:tc>
      </w:tr>
      <w:tr>
        <w:trPr>
          <w:trHeight w:val="218"/>
        </w:trPr>
        <w:tc>
          <w:tcPr>
            <w:tcW w:w="1180" w:type="dxa"/>
            <w:vAlign w:val="bottom"/>
            <w:tcBorders>
              <w:top w:val="single" w:sz="8" w:color="CCEEFF"/>
              <w:right w:val="single" w:sz="8" w:color="CCEEFF"/>
            </w:tcBorders>
            <w:shd w:val="clear" w:color="auto" w:fill="CCEEFF"/>
          </w:tcPr>
          <w:p>
            <w:pPr>
              <w:spacing w:after="0"/>
              <w:rPr>
                <w:sz w:val="18"/>
                <w:szCs w:val="18"/>
                <w:color w:val="auto"/>
              </w:rPr>
            </w:pPr>
          </w:p>
        </w:tc>
        <w:tc>
          <w:tcPr>
            <w:tcW w:w="120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620" w:type="dxa"/>
            <w:vAlign w:val="bottom"/>
            <w:tcBorders>
              <w:top w:val="single" w:sz="8" w:color="0000EE"/>
            </w:tcBorders>
            <w:shd w:val="clear" w:color="auto" w:fill="CCEEFF"/>
          </w:tcPr>
          <w:p>
            <w:pPr>
              <w:spacing w:after="0"/>
              <w:rPr>
                <w:sz w:val="18"/>
                <w:szCs w:val="18"/>
                <w:color w:val="auto"/>
              </w:rPr>
            </w:pPr>
          </w:p>
        </w:tc>
        <w:tc>
          <w:tcPr>
            <w:tcW w:w="18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Borders>
              <w:right w:val="single" w:sz="8" w:color="CCEEFF"/>
            </w:tcBorders>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2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333-269483)</w:t>
            </w:r>
          </w:p>
        </w:tc>
        <w:tc>
          <w:tcPr>
            <w:tcW w:w="14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1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5980" w:type="dxa"/>
            <w:vAlign w:val="bottom"/>
            <w:gridSpan w:val="8"/>
          </w:tcPr>
          <w:p>
            <w:pPr>
              <w:spacing w:after="0" w:line="17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Nominating and Corporate Governance Committee Charter</w:t>
              </w:r>
            </w:hyperlink>
          </w:p>
        </w:tc>
        <w:tc>
          <w:tcPr>
            <w:tcW w:w="26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Exhibit 99.7 to Registration</w:t>
            </w:r>
          </w:p>
        </w:tc>
        <w:tc>
          <w:tcPr>
            <w:tcW w:w="14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January 31, 2023</w:t>
            </w:r>
          </w:p>
        </w:tc>
        <w:tc>
          <w:tcPr>
            <w:tcW w:w="0" w:type="dxa"/>
            <w:vAlign w:val="bottom"/>
          </w:tcPr>
          <w:p>
            <w:pPr>
              <w:spacing w:after="0"/>
              <w:rPr>
                <w:sz w:val="1"/>
                <w:szCs w:val="1"/>
                <w:color w:val="auto"/>
              </w:rPr>
            </w:pPr>
          </w:p>
        </w:tc>
      </w:tr>
      <w:tr>
        <w:trPr>
          <w:trHeight w:val="218"/>
        </w:trPr>
        <w:tc>
          <w:tcPr>
            <w:tcW w:w="1180" w:type="dxa"/>
            <w:vAlign w:val="bottom"/>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on Form S-1 (File No:</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333-269483)</w:t>
            </w: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59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Interactive Data Files</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9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9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9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98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2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5980" w:type="dxa"/>
            <w:vAlign w:val="bottom"/>
            <w:gridSpan w:val="8"/>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180" w:type="dxa"/>
            <w:vAlign w:val="bottom"/>
          </w:tcPr>
          <w:p>
            <w:pPr>
              <w:spacing w:after="0"/>
              <w:rPr>
                <w:sz w:val="10"/>
                <w:szCs w:val="10"/>
                <w:color w:val="auto"/>
              </w:rPr>
            </w:pPr>
          </w:p>
        </w:tc>
        <w:tc>
          <w:tcPr>
            <w:tcW w:w="59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Exhibit 101)</w:t>
            </w:r>
          </w:p>
        </w:tc>
        <w:tc>
          <w:tcPr>
            <w:tcW w:w="26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5980" w:type="dxa"/>
            <w:vAlign w:val="bottom"/>
            <w:gridSpan w:val="8"/>
            <w:vMerge w:val="continue"/>
          </w:tcPr>
          <w:p>
            <w:pPr>
              <w:spacing w:after="0"/>
              <w:rPr>
                <w:sz w:val="9"/>
                <w:szCs w:val="9"/>
                <w:color w:val="auto"/>
              </w:rPr>
            </w:pPr>
          </w:p>
        </w:tc>
        <w:tc>
          <w:tcPr>
            <w:tcW w:w="26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7560" w:firstLine="8"/>
        <w:spacing w:after="0" w:line="453" w:lineRule="auto"/>
        <w:tabs>
          <w:tab w:leader="none" w:pos="45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 Filed herewith.</w:t>
      </w:r>
    </w:p>
    <w:p>
      <w:pPr>
        <w:spacing w:after="0" w:line="2" w:lineRule="exact"/>
        <w:rPr>
          <w:sz w:val="20"/>
          <w:szCs w:val="20"/>
          <w:color w:val="auto"/>
        </w:rPr>
      </w:pPr>
    </w:p>
    <w:p>
      <w:pPr>
        <w:ind w:left="460" w:hanging="452"/>
        <w:spacing w:after="0" w:line="282" w:lineRule="auto"/>
        <w:tabs>
          <w:tab w:leader="none" w:pos="4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and not to be incorporated by reference into any filing of 60 Degrees Pharmaceuticals, Inc. under the Securities Act of 1933, as amended, or the Securities Exchange Act of 1934, as amended, whether made before or after the date of this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tc>
      </w:tr>
      <w:tr>
        <w:trPr>
          <w:trHeight w:val="43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Dated: March 30, 2026</w:t>
            </w:r>
          </w:p>
        </w:tc>
        <w:tc>
          <w:tcPr>
            <w:tcW w:w="70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Geoffrey Dow</w:t>
            </w:r>
          </w:p>
        </w:tc>
      </w:tr>
      <w:tr>
        <w:trPr>
          <w:trHeight w:val="198"/>
        </w:trPr>
        <w:tc>
          <w:tcPr>
            <w:tcW w:w="42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41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Geoffrey Dow</w:t>
            </w:r>
          </w:p>
        </w:tc>
      </w:tr>
      <w:tr>
        <w:trPr>
          <w:trHeight w:val="216"/>
        </w:trPr>
        <w:tc>
          <w:tcPr>
            <w:tcW w:w="42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2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516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2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Geoffrey Dow</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Geoffrey Dow</w:t>
            </w:r>
          </w:p>
        </w:tc>
        <w:tc>
          <w:tcPr>
            <w:tcW w:w="2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Tyrone Miller</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Tyrone Miller</w:t>
            </w:r>
          </w:p>
        </w:tc>
        <w:tc>
          <w:tcPr>
            <w:tcW w:w="240" w:type="dxa"/>
            <w:vAlign w:val="bottom"/>
          </w:tcPr>
          <w:p>
            <w:pPr>
              <w:spacing w:after="0"/>
              <w:rPr>
                <w:sz w:val="20"/>
                <w:szCs w:val="20"/>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8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Charles Allen</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Charles Allen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Cheryl Xu</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Cheryl Xu</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21"/>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Stephen Toovey</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Stephen Toovey</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6"/>
        </w:trPr>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Paul Field</w:t>
            </w:r>
          </w:p>
        </w:tc>
        <w:tc>
          <w:tcPr>
            <w:tcW w:w="240" w:type="dxa"/>
            <w:vAlign w:val="bottom"/>
          </w:tcPr>
          <w:p>
            <w:pPr>
              <w:spacing w:after="0"/>
              <w:rPr>
                <w:sz w:val="24"/>
                <w:szCs w:val="24"/>
                <w:color w:val="auto"/>
              </w:rPr>
            </w:pPr>
          </w:p>
        </w:tc>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30, 2026</w:t>
            </w:r>
          </w:p>
        </w:tc>
      </w:tr>
    </w:tbl>
    <w:p>
      <w:pPr>
        <w:sectPr>
          <w:pgSz w:w="11900" w:h="16900" w:orient="portrait"/>
          <w:cols w:equalWidth="0" w:num="1">
            <w:col w:w="11240"/>
          </w:cols>
          <w:pgMar w:left="320" w:top="121" w:right="339"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Paul Field</w:t>
      </w:r>
    </w:p>
    <w:p>
      <w:pPr>
        <w:spacing w:after="0" w:line="2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5" w:name="page76"/>
    <w:bookmarkEnd w:id="75"/>
    <w:p>
      <w:pPr>
        <w:ind w:left="10320"/>
        <w:spacing w:after="0"/>
        <w:rPr>
          <w:sz w:val="20"/>
          <w:szCs w:val="20"/>
          <w:color w:val="auto"/>
        </w:rPr>
      </w:pPr>
      <w:r>
        <w:rPr>
          <w:rFonts w:ascii="Times New Roman" w:cs="Times New Roman" w:eastAsia="Times New Roman" w:hAnsi="Times New Roman"/>
          <w:sz w:val="17"/>
          <w:szCs w:val="17"/>
          <w:b w:val="1"/>
          <w:bCs w:val="1"/>
          <w:color w:val="auto"/>
        </w:rPr>
        <w:t>Exhibit 19.1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 DEGREES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Insider Trading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provides guidelines with respect to transactions in the securities of 60 Degrees Pharmaceuticals,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handling of confidential information about the Company and the companies with which the Company does business.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Board of Directors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has adopted this Policy to promote compliance with federal, state, and foreign securities laws that prohibit certain persons who are aware of material nonpublic information about a company from: (i) trading in securities of that company (e.g., purchasing and selling of securities, including purchases and sales of options and warrants on securities, as well as short sales); or (ii) providing material nonpublic information to other persons who may trade on the basis of that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Persons Subject to the Policy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all officers of the Company and its subsidiaries, all members of the Board and all employees of the Company and its subsidiaries. The Company may also determine that other persons should be subject to this Policy, such as contractors or consultants who have access to material nonpublic information. This Policy also applies to family members, other members of a person’s household and entities controlled by a person covered by this Policy, as described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Subject to the Policy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Policy applies to transactions in the Company’s securities (collectively referred to in this Policy as “</w:t>
      </w:r>
      <w:r>
        <w:rPr>
          <w:rFonts w:ascii="Times New Roman" w:cs="Times New Roman" w:eastAsia="Times New Roman" w:hAnsi="Times New Roman"/>
          <w:sz w:val="18"/>
          <w:szCs w:val="18"/>
          <w:u w:val="single" w:color="auto"/>
          <w:color w:val="auto"/>
        </w:rPr>
        <w:t>Company Securities</w:t>
      </w:r>
      <w:r>
        <w:rPr>
          <w:rFonts w:ascii="Times New Roman" w:cs="Times New Roman" w:eastAsia="Times New Roman" w:hAnsi="Times New Roman"/>
          <w:sz w:val="18"/>
          <w:szCs w:val="18"/>
          <w:color w:val="auto"/>
        </w:rPr>
        <w:t>”), including the Company’s common stock, options to purchase common stock,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There are certain exceptions that are discussed in this Policy under “Transactions Under Company Plans,” “Transactions Not Involving a Purchase or Sale,” and “Rule 10b5-1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Individual Responsibility</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Persons subject to this Policy have ethical and legal obligations to maintain the confidentiality of information about the Company and to not engage in transactions in Company Securities while in possession of material nonpublic information.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subject to this Policy must not engage in illegal trading and must avoid the appearance of improper trading. Each individual is responsible for making sure that he or she complies with this Policy, and that any family member, household member, or entity whose transactions are subject to this Policy, as discussed below, also comply with this Policy.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all cases, the responsibility for determining whether an individual is in possession of material nonpublic information rests with that individual, and any action on the part of the Company, the Compliance Officer, or any other employee or director pursuant to this Policy or otherwise does not in any way constitute legal advice or insulate an individual from liability under applicable securities laws.</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could be subject to severe legal penalties and disciplinary action by the Company for any conduct prohibited by this Policy or applicable securities laws, as described below in more detail under the heading “Consequences of Violations.”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 of the Policy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 shall serve as the Compliance Officer for the purposes of this Policy. The Compliance Officer is authorized to consult with the Company’s</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securities counsel without notice and at such times as he may deem necessary or appropriate at the expense of the Company. All determinations and interpretations by the Compliance Officer shall be final and not subject to further review. The duties of the Compliance Officer include, but are not limited to, the following:</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assisting with implementation and enforcement of this Policy;</w:t>
      </w:r>
    </w:p>
    <w:p>
      <w:pPr>
        <w:spacing w:after="0" w:line="225" w:lineRule="exact"/>
        <w:rPr>
          <w:sz w:val="20"/>
          <w:szCs w:val="20"/>
          <w:color w:val="auto"/>
        </w:rPr>
      </w:pPr>
    </w:p>
    <w:p>
      <w:pPr>
        <w:ind w:left="720" w:right="440"/>
        <w:spacing w:after="0" w:line="500" w:lineRule="auto"/>
        <w:rPr>
          <w:sz w:val="20"/>
          <w:szCs w:val="20"/>
          <w:color w:val="auto"/>
        </w:rPr>
      </w:pPr>
      <w:r>
        <w:rPr>
          <w:rFonts w:ascii="Times New Roman" w:cs="Times New Roman" w:eastAsia="Times New Roman" w:hAnsi="Times New Roman"/>
          <w:sz w:val="18"/>
          <w:szCs w:val="18"/>
          <w:color w:val="auto"/>
        </w:rPr>
        <w:t>circulating this Policy to all employees and ensuring that this Policy is amended as necessary to remain up-to-date with insider trading laws; ensuring that the Company obtain and maintain written acknowledgments from employees that they have read the policy;</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overseeing the responses to questions from individual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5">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providing for employee training sessions;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ensuring that relevant files on policy compliance and implementation are maintained;</w:t>
      </w:r>
    </w:p>
    <w:p>
      <w:pPr>
        <w:spacing w:after="0" w:line="225" w:lineRule="exact"/>
        <w:rPr>
          <w:sz w:val="20"/>
          <w:szCs w:val="20"/>
          <w:color w:val="auto"/>
        </w:rPr>
      </w:pPr>
    </w:p>
    <w:p>
      <w:pPr>
        <w:ind w:left="660" w:right="20" w:firstLine="57"/>
        <w:spacing w:after="0" w:line="282" w:lineRule="auto"/>
        <w:rPr>
          <w:sz w:val="20"/>
          <w:szCs w:val="20"/>
          <w:color w:val="auto"/>
        </w:rPr>
      </w:pPr>
      <w:r>
        <w:rPr>
          <w:rFonts w:ascii="Times New Roman" w:cs="Times New Roman" w:eastAsia="Times New Roman" w:hAnsi="Times New Roman"/>
          <w:sz w:val="18"/>
          <w:szCs w:val="18"/>
          <w:color w:val="auto"/>
        </w:rPr>
        <w:t>pre-clearing all trading in securities of the Company in accordance with the procedures as discussed in this Policy under “Pre-Clearance Procedures”;</w:t>
      </w:r>
    </w:p>
    <w:p>
      <w:pPr>
        <w:spacing w:after="0" w:line="161" w:lineRule="exact"/>
        <w:rPr>
          <w:sz w:val="20"/>
          <w:szCs w:val="20"/>
          <w:color w:val="auto"/>
        </w:rPr>
      </w:pPr>
    </w:p>
    <w:p>
      <w:pPr>
        <w:ind w:left="660" w:right="20" w:firstLine="57"/>
        <w:spacing w:after="0" w:line="282" w:lineRule="auto"/>
        <w:rPr>
          <w:sz w:val="20"/>
          <w:szCs w:val="20"/>
          <w:color w:val="auto"/>
        </w:rPr>
      </w:pPr>
      <w:r>
        <w:rPr>
          <w:rFonts w:ascii="Times New Roman" w:cs="Times New Roman" w:eastAsia="Times New Roman" w:hAnsi="Times New Roman"/>
          <w:sz w:val="18"/>
          <w:szCs w:val="18"/>
          <w:color w:val="auto"/>
        </w:rPr>
        <w:t>providing approval of any Rule 10b5-1 plans as discussed in this Policy under “Rule 10b5-1 Plans” and any prohibited transactions as discussed in this Policy; and</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providing a reporting system with an effective whistleblower protection mechanism.</w:t>
      </w:r>
    </w:p>
    <w:p>
      <w:pPr>
        <w:sectPr>
          <w:pgSz w:w="11900" w:h="16838" w:orient="portrait"/>
          <w:cols w:equalWidth="0" w:num="1">
            <w:col w:w="11240"/>
          </w:cols>
          <w:pgMar w:left="320" w:top="117" w:right="339" w:bottom="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Statement of Policy</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the policy of the Company that no director, officer, or other employee of the Company (or any other person designated by this Policy or by the Compliance Officer as subject to this Policy) who is aware of material nonpublic information relating to the Company may, directly, or indirectly through family members or other persons or entities:</w:t>
      </w:r>
    </w:p>
    <w:p>
      <w:pPr>
        <w:spacing w:after="0" w:line="95" w:lineRule="exact"/>
        <w:rPr>
          <w:sz w:val="20"/>
          <w:szCs w:val="20"/>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in Company Securities, except as otherwise specified in this Policy under the headings “Transactions Under Company Plans,” “Transactions Not Involving a Purchase or Sale,” and “Rule 10b5-1 Plans”;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the purchase or sale of any Company Securities;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material nonpublic information to persons within the Company whose jobs do not require them to have that information, or outside of the Company to other persons, including, but not limited to, family, friends, business associates, investors, and expert consulting firms, unless any such disclosure is made in accordance with the Company’s policies regarding the protection or authorized external disclosure of information regarding the Company; or</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anyone engaged in the above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it is the policy of the Company that no director, officer, or other employee of the Company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Material Nonpublic Information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is considered “material” if a reasonable investor would consider that information important in making a decision to buy, hold, or sell securities. Any information that could be expected to affect a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Projections of future earnings or losses, or other earnings guidance;</w:t>
      </w:r>
    </w:p>
    <w:p>
      <w:pPr>
        <w:spacing w:after="0" w:line="225" w:lineRule="exact"/>
        <w:rPr>
          <w:sz w:val="20"/>
          <w:szCs w:val="20"/>
          <w:color w:val="auto"/>
        </w:rPr>
      </w:pPr>
    </w:p>
    <w:p>
      <w:pPr>
        <w:ind w:left="720" w:right="3580"/>
        <w:spacing w:after="0" w:line="500" w:lineRule="auto"/>
        <w:rPr>
          <w:sz w:val="20"/>
          <w:szCs w:val="20"/>
          <w:color w:val="auto"/>
        </w:rPr>
      </w:pPr>
      <w:r>
        <w:rPr>
          <w:rFonts w:ascii="Times New Roman" w:cs="Times New Roman" w:eastAsia="Times New Roman" w:hAnsi="Times New Roman"/>
          <w:sz w:val="18"/>
          <w:szCs w:val="18"/>
          <w:color w:val="auto"/>
        </w:rPr>
        <w:t>Changes to previously announced earnings guidance, or decisions to suspend earnings guidance; A pending or proposed merger, acquisition, or tender offer;</w:t>
      </w:r>
    </w:p>
    <w:p>
      <w:pPr>
        <w:spacing w:after="0" w:line="1" w:lineRule="exact"/>
        <w:rPr>
          <w:sz w:val="20"/>
          <w:szCs w:val="20"/>
          <w:color w:val="auto"/>
        </w:rPr>
      </w:pPr>
    </w:p>
    <w:p>
      <w:pPr>
        <w:ind w:left="720" w:right="5440"/>
        <w:spacing w:after="0" w:line="500" w:lineRule="auto"/>
        <w:rPr>
          <w:sz w:val="20"/>
          <w:szCs w:val="20"/>
          <w:color w:val="auto"/>
        </w:rPr>
      </w:pPr>
      <w:r>
        <w:rPr>
          <w:rFonts w:ascii="Times New Roman" w:cs="Times New Roman" w:eastAsia="Times New Roman" w:hAnsi="Times New Roman"/>
          <w:sz w:val="18"/>
          <w:szCs w:val="18"/>
          <w:color w:val="auto"/>
        </w:rPr>
        <w:t>A pending or proposed acquisition or disposition of a significant asset; A pending or proposed joint venture;</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Company restructuring;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related party transactions;</w:t>
      </w:r>
    </w:p>
    <w:p>
      <w:pPr>
        <w:spacing w:after="0" w:line="225" w:lineRule="exact"/>
        <w:rPr>
          <w:sz w:val="20"/>
          <w:szCs w:val="20"/>
          <w:color w:val="auto"/>
        </w:rPr>
      </w:pPr>
    </w:p>
    <w:p>
      <w:pPr>
        <w:ind w:left="720" w:right="3440"/>
        <w:spacing w:after="0" w:line="500" w:lineRule="auto"/>
        <w:rPr>
          <w:sz w:val="20"/>
          <w:szCs w:val="20"/>
          <w:color w:val="auto"/>
        </w:rPr>
      </w:pPr>
      <w:r>
        <w:rPr>
          <w:rFonts w:ascii="Times New Roman" w:cs="Times New Roman" w:eastAsia="Times New Roman" w:hAnsi="Times New Roman"/>
          <w:sz w:val="18"/>
          <w:szCs w:val="18"/>
          <w:color w:val="auto"/>
        </w:rPr>
        <w:t>A change in dividend policy, the declaration of a stock split, or an offering of additional securities; Bank borrowings or other financing transactions out of the ordinary course of business;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6">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720" w:right="5560" w:firstLine="40"/>
        <w:spacing w:after="0" w:line="500" w:lineRule="auto"/>
        <w:rPr>
          <w:sz w:val="20"/>
          <w:szCs w:val="20"/>
          <w:color w:val="auto"/>
        </w:rPr>
      </w:pPr>
      <w:r>
        <w:rPr>
          <w:rFonts w:ascii="Times New Roman" w:cs="Times New Roman" w:eastAsia="Times New Roman" w:hAnsi="Times New Roman"/>
          <w:sz w:val="18"/>
          <w:szCs w:val="18"/>
          <w:color w:val="auto"/>
        </w:rPr>
        <w:t>The establishment of a repurchase program for Company Securities; A change in the Company’s pricing or cost structure;</w:t>
      </w:r>
    </w:p>
    <w:p>
      <w:pPr>
        <w:spacing w:after="0" w:line="1" w:lineRule="exact"/>
        <w:rPr>
          <w:sz w:val="20"/>
          <w:szCs w:val="20"/>
          <w:color w:val="auto"/>
        </w:rPr>
      </w:pPr>
    </w:p>
    <w:p>
      <w:pPr>
        <w:jc w:val="both"/>
        <w:ind w:left="720" w:right="8640"/>
        <w:spacing w:after="0" w:line="530" w:lineRule="auto"/>
        <w:rPr>
          <w:sz w:val="20"/>
          <w:szCs w:val="20"/>
          <w:color w:val="auto"/>
        </w:rPr>
      </w:pPr>
      <w:r>
        <w:rPr>
          <w:rFonts w:ascii="Times New Roman" w:cs="Times New Roman" w:eastAsia="Times New Roman" w:hAnsi="Times New Roman"/>
          <w:sz w:val="17"/>
          <w:szCs w:val="17"/>
          <w:color w:val="auto"/>
        </w:rPr>
        <w:t>Major marketing changes; A change in management;</w:t>
      </w:r>
    </w:p>
    <w:p>
      <w:pPr>
        <w:ind w:left="720" w:right="4020"/>
        <w:spacing w:after="0" w:line="500" w:lineRule="auto"/>
        <w:rPr>
          <w:sz w:val="20"/>
          <w:szCs w:val="20"/>
          <w:color w:val="auto"/>
        </w:rPr>
      </w:pPr>
      <w:r>
        <w:rPr>
          <w:rFonts w:ascii="Times New Roman" w:cs="Times New Roman" w:eastAsia="Times New Roman" w:hAnsi="Times New Roman"/>
          <w:sz w:val="18"/>
          <w:szCs w:val="18"/>
          <w:color w:val="auto"/>
        </w:rPr>
        <w:t>A change in auditors or notification that the auditor’s report may no longer be relied upon; Development of a significant new product, process, or service;</w:t>
      </w:r>
    </w:p>
    <w:p>
      <w:pPr>
        <w:spacing w:after="0" w:line="1" w:lineRule="exact"/>
        <w:rPr>
          <w:sz w:val="20"/>
          <w:szCs w:val="20"/>
          <w:color w:val="auto"/>
        </w:rPr>
      </w:pPr>
    </w:p>
    <w:p>
      <w:pPr>
        <w:ind w:left="720" w:right="4860"/>
        <w:spacing w:after="0" w:line="530" w:lineRule="auto"/>
        <w:rPr>
          <w:sz w:val="20"/>
          <w:szCs w:val="20"/>
          <w:color w:val="auto"/>
        </w:rPr>
      </w:pPr>
      <w:r>
        <w:rPr>
          <w:rFonts w:ascii="Times New Roman" w:cs="Times New Roman" w:eastAsia="Times New Roman" w:hAnsi="Times New Roman"/>
          <w:sz w:val="17"/>
          <w:szCs w:val="17"/>
          <w:color w:val="auto"/>
        </w:rPr>
        <w:t>Pending or threatened significant litigation, or the resolution of such litigation; Impending bankruptcy or the existence of severe liquidity problems;</w:t>
      </w:r>
    </w:p>
    <w:p>
      <w:pPr>
        <w:ind w:left="340"/>
        <w:spacing w:after="0"/>
        <w:rPr>
          <w:sz w:val="20"/>
          <w:szCs w:val="20"/>
          <w:color w:val="auto"/>
        </w:rPr>
      </w:pPr>
      <w:r>
        <w:rPr>
          <w:rFonts w:ascii="Times New Roman" w:cs="Times New Roman" w:eastAsia="Times New Roman" w:hAnsi="Times New Roman"/>
          <w:sz w:val="18"/>
          <w:szCs w:val="18"/>
          <w:color w:val="auto"/>
        </w:rPr>
        <w:t>The gain or loss of a significant customer or supplier;</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results of clinical trials or testing of the Company’s products or services;</w:t>
      </w:r>
    </w:p>
    <w:p>
      <w:pPr>
        <w:spacing w:after="0" w:line="225" w:lineRule="exact"/>
        <w:rPr>
          <w:sz w:val="20"/>
          <w:szCs w:val="20"/>
          <w:color w:val="auto"/>
        </w:rPr>
      </w:pPr>
    </w:p>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A significant cybersecurity incident, such as a data breach, or any other significant disruption in the Company’s operations or loss, potential loss, breach, or unauthorized access of its property or assets, whether at its facilities or through its information technology infrastructure; or</w:t>
      </w:r>
    </w:p>
    <w:p>
      <w:pPr>
        <w:sectPr>
          <w:pgSz w:w="11900" w:h="16838" w:orient="portrait"/>
          <w:cols w:equalWidth="0" w:num="1">
            <w:col w:w="11240"/>
          </w:cols>
          <w:pgMar w:left="320" w:top="117" w:right="339" w:bottom="0" w:gutter="0" w:footer="0" w:header="0"/>
        </w:sectPr>
      </w:pPr>
    </w:p>
    <w:bookmarkStart w:id="77" w:name="page78"/>
    <w:bookmarkEnd w:id="77"/>
    <w:p>
      <w:pPr>
        <w:ind w:left="660" w:firstLine="57"/>
        <w:spacing w:after="0" w:line="282" w:lineRule="auto"/>
        <w:rPr>
          <w:sz w:val="20"/>
          <w:szCs w:val="20"/>
          <w:color w:val="auto"/>
        </w:rPr>
      </w:pPr>
      <w:r>
        <w:rPr>
          <w:rFonts w:ascii="Times New Roman" w:cs="Times New Roman" w:eastAsia="Times New Roman" w:hAnsi="Times New Roman"/>
          <w:sz w:val="18"/>
          <w:szCs w:val="18"/>
          <w:color w:val="auto"/>
        </w:rPr>
        <w:t>The imposition of an event-specific restriction on trading in the Company’s Securities or the securities of another company or the extension or termination of such restriction.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 disseminated if it has been disclosed through the Dow Jones “broad tape,” newswire services, a broadcast on widely-available radio or television programs, publication in a widely-available newspaper, magazine or news website, or public disclosure documents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that are available on the SEC’s website, or subject to the Compliance Officer’s determination, disclosure on the Company’s website, or through social media.</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contrast, information would likely not be considered widely disseminated if it is available only to the Company’s employees. Nonpublic information may also include: (i) information available to a select group of analysts or brokers or institutional investors; (ii) undisclosed facts that are the subject of rumors, even if the rumors are widely circulated; and (iii) information that has been entrusted to the Company on a confidential basis until a public announcement of the information has been made and enough time has elapsed for the market to respond to a public announcement of the information (normally two (2) trading days).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Once information is widely disseminated, it is still necessary to provide the investing public with sufficient time to absorb the information. As a general rule, information should not be considered fully absorbed by the marketplace until after the second (2nd) business day after the day on which the information is released. If, for example, the Company were to make an announcement on a Monday, you should not trade in Company Securities until Thursday. Depending on the particular circumstances, the Company may determine that a longer or shorter period should apply to the release of specific material nonpublic information. For purposes of this Policy, a “business day” is any day that The Nasdaq Stock Market LLC is open for trading.</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Family Members and Others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u w:val="single" w:color="auto"/>
          <w:color w:val="auto"/>
        </w:rPr>
        <w:t>Family Members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does not, however, apply to personal securities transactions of Family Members where the purchase or sale decision is made by a third party not controlled by, influenced by or related to you or your Family Members.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7">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by Entities that You Influence or Control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applies to any entities that you influence or control, including any corporations, partnerships, or trusts (collectively referred to as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Entities</w:t>
      </w:r>
      <w:r>
        <w:rPr>
          <w:rFonts w:ascii="Times New Roman" w:cs="Times New Roman" w:eastAsia="Times New Roman" w:hAnsi="Times New Roman"/>
          <w:sz w:val="18"/>
          <w:szCs w:val="18"/>
          <w:color w:val="auto"/>
        </w:rPr>
        <w:t>”), and transactions by these Controlled Entities should be treated for the purposes of this Policy and applicable securities laws as if they were for your own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Under Company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Policy does not apply in the case of the following transactions, if currently applicable, except as specifically noted: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 Exercises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Restricted Stock Awards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401(k)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does not apply to purchases of Company Securities in the Company’s 401(k) plan resulting from your periodic contribution of money to the plan pursuant to your payroll deduction election.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Policy does apply, however, to certain elections you may make under the 401(k) plan, including: (i) an election to increase or decrease the percentage of your periodic contributions that will be allocated to the Company stock fund; (ii) an election to make an intra-plan transfer of an existing account balance into or out of the Company stock fund; (iii) an election to borrow money against your 401(k) plan account if the loan will result in a liquidation of some or all of your Company stock fund balance; and (iv) an election to pre-pay a plan loan if the pre-payment will result in allocation of loan proceeds to the Company stock fund. It should be noted that sales of Company Securities from a 401(k) account are also subject to Rule 144, and therefore affiliates should ensure that a Form 144 is filed when required.</w:t>
      </w:r>
    </w:p>
    <w:p>
      <w:pPr>
        <w:sectPr>
          <w:pgSz w:w="11900" w:h="16838" w:orient="portrait"/>
          <w:cols w:equalWidth="0" w:num="1">
            <w:col w:w="11240"/>
          </w:cols>
          <w:pgMar w:left="320" w:top="121" w:right="339" w:bottom="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auto"/>
        </w:rPr>
        <w:t>Employee Stock Purchase Plan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Policy does not apply to purchases of Company Securities in the employee stock purchase plan resulting from your periodic contribution of money to the plan pursuant to the election you made at the time of your enrollment in the plan. This Policy also does not apply to purchases of Company Securities resulting from lump sum contributions to the plan, provided that you elected to participate by lump sum payment at the beginning of the applicable enrollment period.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does apply, however, to your election to participate in the plan for any enrollment period, and to your sales of Company Securities purchased pursuant to the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 Reinvestment Plan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Policy does not apply to purchases of Company Securities under the Company’s dividend reinvestment plan resulting from your reinvestment of dividends paid on Company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does apply, however, to voluntary purchases of Company Securities resulting from additional contributions you choose to make to the dividend reinvestment plan, and to your election to participate in the plan or increase your level of participation in the plan. This Policy also applies to your sale of any Company Securities purchased pursuant to the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Similar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other purchase of Company Securities from the Company or sales of Company Securities to the Company are not subject to this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8">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Not Involving a Purchase or Sale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Bona fide gifts are not transactions subject to this Policy, unless the person making the gift has reason to believe that the recipient intends to sell the Company Securities while the officer, employee, or director is aware of material nonpublic information, or the person making the gift is subject to the trading restrictions specified below under the heading “Additional Procedures” and the sales by the recipient of the Company Securities occur during a blackout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transactions in mutual funds that are invested in Company Securities are not transactions subject to this Policy.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and Prohibited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transactions are of concern not only because of insider trading considerations, but also because of the appearance created by the transaction and the potential repercussions that the transaction may have with investors, regulators, and others.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Short-Term Trading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Short-term trading of Company Securities may be distracting to the person and may unduly focus the person on the Company’s short-term stock market performance instead of the Company’s long-term business objectives. For these reasons, any director, officer, or other employee of the Company who purchases Company Securities in the open market may not sell any Company Securities of the same class during the six (6) months following the purchase or vice versa. Directors and officers should note the short-term trading restrictions of Section 16(b) of the Securities Exchange Act of 1934, as amended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Short Sales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 sales of Company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Publicly-Traded Options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relatively short term of publicly-traded options, transactions in options may create the appearance that a director, officer, or employee is trading based on material nonpublic information and focus a director’s, officer’s, or other employee’s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next paragraph below.)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Hedging Transactions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Hedging or monetization transactions can be accomplished through a number of possible mechanisms, including through the use of financial instruments such as prepaid variable forwards, equity swaps, collars, and exchange funds. Such transactions may permit a director, officer, or employee to continue to own Company Securities obtained through employee benefit plans or otherwise, but without the full risks and rewards of ownership. When that occurs, the director, officer, or employee may no longer have the same objectives as the Company’s other shareholders. Therefore, directors, officers, and employees are prohibited from engaging in any such transactions.</w:t>
      </w:r>
    </w:p>
    <w:p>
      <w:pPr>
        <w:sectPr>
          <w:pgSz w:w="11900" w:h="16838" w:orient="portrait"/>
          <w:cols w:equalWidth="0" w:num="1">
            <w:col w:w="11240"/>
          </w:cols>
          <w:pgMar w:left="320" w:top="337" w:right="339" w:bottom="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auto"/>
        </w:rPr>
        <w:t>Margin Accounts and Pledged Securities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directors, officers, and other employees are prohibited from holding Company Securities in a margin account and are strongly discouraged from pledging Company Securities as collateral for a loan. Any person wishing to enter into a legitimate loan pledge arrangement must first submit the proposed transaction in writing for approval by the Compliance Officer at least two (2) weeks prior to the proposed execution of documents evidencing the proposed transaction and must set forth a justification for the proposed transaction and clearly demonstrate the financial capacity to repay the loan without resorting to the pledged securities. The person making the request shall have no other contact with the Compliance Officer on that matter and the Compliance Officer’s decision shall be final and binding. (Pledges of Company Securities arising from certain types of hedging transactions are governed by the paragraph above captioned “Hedging Transactions.”)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9">
                      <a:extLst>
                        <a:ext uri="{28A0092B-C50C-407E-A947-70E740481C1C}"/>
                      </a:extLst>
                    </a:blip>
                    <a:srcRect/>
                    <a:stretch>
                      <a:fillRect/>
                    </a:stretch>
                  </pic:blipFill>
                  <pic:spPr bwMode="auto">
                    <a:xfrm>
                      <a:off x="0" y="0"/>
                      <a:ext cx="7162165" cy="342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Standing and Limit Orders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Standing and limit orders, except standing and limit 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in possession of material nonpublic information. The Company therefore discourages placing standing or limit orders on Company Securities. If a person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established additional procedures in order to assist the Company in the administration</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Pre-Clearance Procedures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persons designated by the Compliance Officer as being subject to these procedures, as well as the Family Members and Controlled Entities of such persons, may not engage in any transaction in Company Securities without first obtaining pre-clearance of the transaction from the Compliance Officer.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written request for pre-clearance should be submitted to the Compliance Officer at least two (2)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he or she should refrain from initiating any transaction in Company Securities, and should not inform any other person of the restriction.</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When a request for pre-clearance is made, the requestor should carefully consider whether he or she may be aware of any material nonpublic information about the Company, and should describe fully those circumstances to the Compliance Officer. The requestor should also indicate whether he or she has effected any non-exempt “opposite-way” transactions within the past six months, and should be prepared to report the proposed transaction on an appropriate Form 4 or Form 5. The requestor should also be prepared to comply with SEC Rule 144 and file Form 144, if necessary, at the time of any sale.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pre-cleared trades must be effected within five (5) business days of receipt of pre-clearance unless an exception is granted. Transactions not effected within the time limit are subject to pre-clearance again. Within three (3) business days after the execution of the transaction, the requestor shall notify the Compliance Officer of the date and size of the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Compliance Officer shall document and maintain records relating to the pre-clearing request, the date of grant or denial, and other pertinent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Blackout Periods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persons designated by the Compliance Officer as subject to this restriction, as well as their Family Members or Controlled Entities, may not conduct any transactions involving the Company’s Securities (other than as specified by this Policy), during a “Blackout Period” beginning two weeks prior to the end of each fiscal quarter and ending on the second (2nd) business day following the date of the public release of the Company’s earnings results for that quarter. In other words, these persons may only conduct transactions in Company Securities during the “Window Period” beginning on the third (3rd) business day following the public release of the Company’s quarterly earnings and ending fifteen (15) days prior to the close of the next fiscal quarter.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certain very limited circumstances, a person subject to this restriction may be permitted to trade during a Blackout Period, but only if the Compliance Officer, with the advice of securities counsel if requested by the Compliance Officer, concludes that the person does not in fact possess material nonpublic information and may otherwise trade.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wishing to trade during a Blackout Period must make such request in writing to the Compliance Officer for approval at least three (3) business days in advance of any proposed transaction involving Company Securities. All such trades are subject to the pre-clearance procedures set forth above under “Pre-Clearance Procedures.”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0">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Event-Specific Trading Restriction Periods</w:t>
      </w:r>
    </w:p>
    <w:p>
      <w:pPr>
        <w:sectPr>
          <w:pgSz w:w="11900" w:h="16838" w:orient="portrait"/>
          <w:cols w:equalWidth="0" w:num="1">
            <w:col w:w="11240"/>
          </w:cols>
          <w:pgMar w:left="320" w:top="337" w:right="339" w:bottom="15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executives or directors (e.g., negotiation of mergers, acquisitions or dispositions, investigation and assessment of cybersecurity incidents, or new product developments). The involved directors or officers shall promptly notify the Compliance Officer of such event. While such event remains material and nonpublic, the Company may impose special blackout periods (“</w:t>
      </w:r>
      <w:r>
        <w:rPr>
          <w:rFonts w:ascii="Times New Roman" w:cs="Times New Roman" w:eastAsia="Times New Roman" w:hAnsi="Times New Roman"/>
          <w:sz w:val="18"/>
          <w:szCs w:val="18"/>
          <w:u w:val="single" w:color="auto"/>
          <w:color w:val="auto"/>
        </w:rPr>
        <w:t>Special Blackout Period</w:t>
      </w:r>
      <w:r>
        <w:rPr>
          <w:rFonts w:ascii="Times New Roman" w:cs="Times New Roman" w:eastAsia="Times New Roman" w:hAnsi="Times New Roman"/>
          <w:sz w:val="18"/>
          <w:szCs w:val="18"/>
          <w:color w:val="auto"/>
        </w:rPr>
        <w:t>”) during which executive officers, directors, and such other persons designated by the Compliance Officer, together with their family members, are prohibited from trading in the Company’s securities. If the Company imposes a Special Blackout Period, it will notify those affected and will not announce its existence other than to those who are aware of the event giving rise to the Special Blackout Period. If you know of the event, then even if the Compliance Officer has not designated you as a person who should not trade due to an event-specific restriction, you should not trade while you are aware of material nonpublic information. Exceptions will not be granted during an event-specific trading restriction period. Any person made aware of the existence of a Special Blackout Period should not disclose its existence to any other person.</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Company’s financial results may be sufficiently material in a particular fiscal quarter that, in the judgment of the Compliance Officer, designated persons should refrain from trading in Company Securities even later than the typical Blackout Period described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Exceptions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quarterly trading restrictions and event-specific trading restrictions do not apply to those transactions to which this Policy does not apply, as described above under the headings “Transactions Under Company Plans” and “Transactions Not Involving a Purchase or Sale.” Further, the requirement for pre-clearance, the quarterly trading restrictions, and event-specific trading restrictions do not apply to transactions conducted pursuant to approved Rule 10b5-1 plans, described under the heading “Rule 10b5-1 Plans.”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Rule 10b5-1 under the Exchange Act provides a defense from insider trading liability under Rule 10b-5. In order to be eligible to rely on this defense, a person subject to this Policy must enter into a Rule 10b5-1 plan for transactions in Company Securities that meets certain conditions specified in Rule 10b-5-1 (a “</w:t>
      </w:r>
      <w:r>
        <w:rPr>
          <w:rFonts w:ascii="Times New Roman" w:cs="Times New Roman" w:eastAsia="Times New Roman" w:hAnsi="Times New Roman"/>
          <w:sz w:val="18"/>
          <w:szCs w:val="18"/>
          <w:u w:val="single" w:color="auto"/>
          <w:color w:val="auto"/>
        </w:rPr>
        <w:t>Rule 10b5-1 Plan</w:t>
      </w:r>
      <w:r>
        <w:rPr>
          <w:rFonts w:ascii="Times New Roman" w:cs="Times New Roman" w:eastAsia="Times New Roman" w:hAnsi="Times New Roman"/>
          <w:sz w:val="18"/>
          <w:szCs w:val="18"/>
          <w:color w:val="auto"/>
        </w:rPr>
        <w:t>”). If the plan meets the requirements of Rule 10b5-1, Company Securities may be purchased or sold without regard to certain insider trading restrictions.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comply with the Policy, a Rule 10b5-1 Plan must be approved by the Compliance Officer and meet the requirements of Rule 10b5-1 and the Company’s “Guidelines for Rule 10b5-1 Plans,” which may be obtained from the Compliance Officer. In general, a Rule 10b5-1 Plan must be entered into at a time when the person entering into the plan is not aware of material nonpublic information. Once the plan is adopted, the person must not exercise any influence over the amount of securities to be traded, the price at which they are to be traded, or the date of the trade. The plan must either specify the amount, pricing, and timing of transactions in advance or provide a third party irrevocable authority to effect such transactions at its own discretion, so long as the third party does not possess material inside information about the Company at the time of the transaction.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Rule 10b5-1 Plan must be submitted in writing for approval by the Compliance Officer no less than five (5) business days prior to the entry into the Rule 10b5-1 Plan. No further pre-approval of transactions conducted pursuant to the Rule 10b5-1 Plan will be required.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on a case-by-case basis, announce publicly (whether by press release, on the Company website, or otherwise) that a key insider has established a pre-arranged plan at the time the plan is entered into, in order to mitigate potentially adverse publicity if a programmed trade on behalf of that insider occurs on some later date when the insider is in possession of material nonpublic information about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Post-Termination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continues to apply to transactions in Company Securities even after termination of service to the Company. If an individual is in possession of material nonpublic information when his or her service terminates, that individual may not trade in Company Securities until that information has become public or is no longer 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62165" cy="336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1">
                      <a:extLst>
                        <a:ext uri="{28A0092B-C50C-407E-A947-70E740481C1C}"/>
                      </a:extLst>
                    </a:blip>
                    <a:srcRect/>
                    <a:stretch>
                      <a:fillRect/>
                    </a:stretch>
                  </pic:blipFill>
                  <pic:spPr bwMode="auto">
                    <a:xfrm>
                      <a:off x="0" y="0"/>
                      <a:ext cx="7162165" cy="336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Violations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 potential liability on companies and other “controlling persons” if they fail to take reasonable steps to prevent insider trading by company personnel.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 can seek substantial civil penalties from any person who, at the time of an insider trading violation, “directly or indirectly controlled the person who committed such violation,” which would apply to the Company and/or management and supervisory personnel. These controlling persons may be held liable for up to the greater of $2.3 million or three times the amount of the profits gained or losses avoided. Even for violations that result in a small or no profit, the SEC can seek penalties from a company and/or its management and supervisory personnel as controlling persons.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 individual’s failure to comply with this Policy may subject the individual to Company-imposed sanctions, including dismissal for cause, whether or not the employee’s failure to comply results in a violation of law. Needless to say, a violation of law, or even an SEC investigation that does not result in prosecution, can tarnish a person’s reputation and irreparably damage a career. Given the severity of the potential penalties, compliance with this Policy is absolutely mandatory.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Assistance</w:t>
      </w:r>
    </w:p>
    <w:p>
      <w:pPr>
        <w:sectPr>
          <w:pgSz w:w="11900" w:h="16838" w:orient="portrait"/>
          <w:cols w:equalWidth="0" w:num="1">
            <w:col w:w="11240"/>
          </w:cols>
          <w:pgMar w:left="320" w:top="121" w:right="339" w:bottom="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person who has a question about this Policy or its application to any proposed transaction may obtain additional guidance from the Compliance Officer, who can be reached by telephone at [__________] or via e-mail at [__________].</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persons subject to this Policy must certify their understanding of, and intent to comply with, this Policy. Please complete and sign the accompanying Certification page and return to [__________] at: [__________].</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 hereby acknowledge receipt of 60 Degrees Pharmaceuticals, Inc.’s Insider Trading Policy, and certify that I have read, understand, and will comply with this policy. I further acknowledge that I have been designated an “Insider” for purposes of the Insider Trading Policy and will comply with the provisions applicable to such persons. I understand that my failure to comply in all respects with the Insider Trading Policy is a basis for termination for cause of my employment or other service relationship with 60 Degrees Pharmaceuticals, Inc.</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__________________</w:t>
            </w:r>
          </w:p>
        </w:tc>
        <w:tc>
          <w:tcPr>
            <w:tcW w:w="74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Signature: __________________</w:t>
            </w:r>
          </w:p>
        </w:tc>
      </w:tr>
      <w:tr>
        <w:trPr>
          <w:trHeight w:val="432"/>
        </w:trPr>
        <w:tc>
          <w:tcPr>
            <w:tcW w:w="3820" w:type="dxa"/>
            <w:vAlign w:val="bottom"/>
          </w:tcPr>
          <w:p>
            <w:pPr>
              <w:spacing w:after="0"/>
              <w:rPr>
                <w:sz w:val="24"/>
                <w:szCs w:val="24"/>
                <w:color w:val="auto"/>
              </w:rPr>
            </w:pPr>
          </w:p>
        </w:tc>
        <w:tc>
          <w:tcPr>
            <w:tcW w:w="744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Print Name: __________________</w:t>
            </w:r>
          </w:p>
        </w:tc>
      </w:tr>
      <w:tr>
        <w:trPr>
          <w:trHeight w:val="432"/>
        </w:trPr>
        <w:tc>
          <w:tcPr>
            <w:tcW w:w="3820" w:type="dxa"/>
            <w:vAlign w:val="bottom"/>
          </w:tcPr>
          <w:p>
            <w:pPr>
              <w:spacing w:after="0"/>
              <w:rPr>
                <w:sz w:val="24"/>
                <w:szCs w:val="24"/>
                <w:color w:val="auto"/>
              </w:rPr>
            </w:pPr>
          </w:p>
        </w:tc>
        <w:tc>
          <w:tcPr>
            <w:tcW w:w="7440" w:type="dxa"/>
            <w:vAlign w:val="bottom"/>
          </w:tcPr>
          <w:p>
            <w:pPr>
              <w:jc w:val="right"/>
              <w:ind w:right="55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820" w:type="dxa"/>
            <w:vAlign w:val="bottom"/>
            <w:tcBorders>
              <w:bottom w:val="single" w:sz="8" w:color="9A9A9A"/>
            </w:tcBorders>
          </w:tcPr>
          <w:p>
            <w:pPr>
              <w:spacing w:after="0"/>
              <w:rPr>
                <w:sz w:val="18"/>
                <w:szCs w:val="18"/>
                <w:color w:val="auto"/>
              </w:rPr>
            </w:pPr>
          </w:p>
        </w:tc>
        <w:tc>
          <w:tcPr>
            <w:tcW w:w="744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-20955</wp:posOffset>
            </wp:positionV>
            <wp:extent cx="33655"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2">
                      <a:extLst>
                        <a:ext uri="{28A0092B-C50C-407E-A947-70E740481C1C}"/>
                      </a:extLst>
                    </a:blip>
                    <a:srcRect/>
                    <a:stretch>
                      <a:fillRect/>
                    </a:stretch>
                  </pic:blipFill>
                  <pic:spPr bwMode="auto">
                    <a:xfrm>
                      <a:off x="0" y="0"/>
                      <a:ext cx="33655" cy="34290"/>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S-3 (No. 333-282221) of our report dated March 30, 2026, relating to the consolidated financial statements of 60 Degrees Pharmaceuticals, Inc. as of and for the two years ended December 31, 2025 included in this Annual Report on Form 10-K for 60 Degrees Pharmaceuticals, Inc. (which report includes an explanatory paragraph regarding the Company’s ability to continue as a going concern).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consent to the reference to our firm under the heading “Experts” in the Prospectus, which is part of this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RBSM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ectPr>
          <w:pgSz w:w="11900" w:h="16838" w:orient="portrait"/>
          <w:cols w:equalWidth="0" w:num="1">
            <w:col w:w="11240"/>
          </w:cols>
          <w:pgMar w:left="320" w:top="117"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Dow, President and Chief Executive Officer of 60 Degrees Pharmaceuticals, Inc. (the “Company”), certify that:</w:t>
      </w:r>
    </w:p>
    <w:p>
      <w:pPr>
        <w:spacing w:after="0" w:line="225" w:lineRule="exact"/>
        <w:rPr>
          <w:sz w:val="20"/>
          <w:szCs w:val="20"/>
          <w:color w:val="auto"/>
        </w:rPr>
      </w:pPr>
    </w:p>
    <w:p>
      <w:pPr>
        <w:ind w:left="340" w:hanging="306"/>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w:t>
      </w:r>
    </w:p>
    <w:p>
      <w:pPr>
        <w:spacing w:after="0" w:line="225" w:lineRule="exact"/>
        <w:rPr>
          <w:rFonts w:ascii="Times New Roman" w:cs="Times New Roman" w:eastAsia="Times New Roman" w:hAnsi="Times New Roman"/>
          <w:sz w:val="18"/>
          <w:szCs w:val="18"/>
          <w:color w:val="auto"/>
        </w:rPr>
      </w:pPr>
    </w:p>
    <w:p>
      <w:pPr>
        <w:jc w:val="both"/>
        <w:ind w:left="340" w:hanging="306"/>
        <w:spacing w:after="0" w:line="266"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represented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the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420" w:right="20" w:hanging="358"/>
        <w:spacing w:after="0" w:line="282" w:lineRule="auto"/>
        <w:tabs>
          <w:tab w:leader="none" w:pos="4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 (or persons fulfilling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3">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117"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Tyrone Miller, Chief Financial Officer of 60 Degrees Pharmaceuticals, Inc. (the “Company”), certify that:</w:t>
      </w:r>
    </w:p>
    <w:p>
      <w:pPr>
        <w:spacing w:after="0" w:line="225" w:lineRule="exact"/>
        <w:rPr>
          <w:sz w:val="20"/>
          <w:szCs w:val="20"/>
          <w:color w:val="auto"/>
        </w:rPr>
      </w:pPr>
    </w:p>
    <w:p>
      <w:pPr>
        <w:ind w:left="340" w:hanging="293"/>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December 31, 2025;</w:t>
      </w:r>
    </w:p>
    <w:p>
      <w:pPr>
        <w:spacing w:after="0" w:line="225"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18"/>
        <w:spacing w:after="0" w:line="282" w:lineRule="auto"/>
        <w:tabs>
          <w:tab w:leader="none" w:pos="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the report, fairly present in all material respects the financial condition, results of operations and cash flows of the Company as of, and for, the periods represented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18"/>
        <w:spacing w:after="0" w:line="266" w:lineRule="auto"/>
        <w:tabs>
          <w:tab w:leader="none" w:pos="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the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61" w:lineRule="exact"/>
        <w:rPr>
          <w:rFonts w:ascii="Times New Roman" w:cs="Times New Roman" w:eastAsia="Times New Roman" w:hAnsi="Times New Roman"/>
          <w:sz w:val="18"/>
          <w:szCs w:val="18"/>
          <w:color w:val="auto"/>
        </w:rPr>
      </w:pPr>
    </w:p>
    <w:p>
      <w:pPr>
        <w:ind w:left="380" w:right="20" w:hanging="318"/>
        <w:spacing w:after="0" w:line="282" w:lineRule="auto"/>
        <w:tabs>
          <w:tab w:leader="none" w:pos="38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to the Audit Committee of the Board of Directors (or persons fulfilling the equivalent function):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30,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Tyrone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Tyrone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17"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60 Degrees Pharmaceuticals, Inc. (the “Company”) for the year ended December 31, 2025, as filed with the Securities and Exchange Commission on the date hereof (the “Report”), the undersigned, Geoffrey Dow, President and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499" w:lineRule="auto"/>
        <w:tabs>
          <w:tab w:leader="none" w:pos="64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March 30,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Geoffrey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Geoffrey Dow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60 Degrees Pharmaceuticals, Inc. (the “Company”) for the year ended December 31, 2025, as filed with the Securities and Exchange Commission on the date hereof (the “Report”), the undersigned, Tyrone Miller,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140" w:firstLine="332"/>
        <w:spacing w:after="0" w:line="499" w:lineRule="auto"/>
        <w:tabs>
          <w:tab w:leader="none" w:pos="6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March 30,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Tyrone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85432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Tyrone Miller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lvl w:ilvl="1">
      <w:lvlJc w:val="left"/>
      <w:lvlText w:val="☒"/>
      <w:numFmt w:val="bullet"/>
      <w:start w:val="1"/>
    </w:lvl>
  </w:abstractNum>
  <w:abstractNum w:abstractNumId="1">
    <w:nsid w:val="2463B9EA"/>
    <w:multiLevelType w:val="hybridMultilevel"/>
    <w:lvl w:ilvl="0">
      <w:lvlJc w:val="left"/>
      <w:lvlText w:val="(%1)"/>
      <w:numFmt w:val="lowerRoman"/>
      <w:start w:val="2"/>
    </w:lvl>
  </w:abstractNum>
  <w:abstractNum w:abstractNumId="2">
    <w:nsid w:val="5E884ADC"/>
    <w:multiLevelType w:val="hybridMultilevel"/>
    <w:lvl w:ilvl="0">
      <w:lvlJc w:val="left"/>
      <w:lvlText w:val=" "/>
      <w:numFmt w:val="bullet"/>
      <w:start w:val="1"/>
    </w:lvl>
  </w:abstractNum>
  <w:abstractNum w:abstractNumId="3">
    <w:nsid w:val="51EAD36B"/>
    <w:multiLevelType w:val="hybridMultilevel"/>
    <w:lvl w:ilvl="0">
      <w:lvlJc w:val="left"/>
      <w:lvlText w:val=" "/>
      <w:numFmt w:val="bullet"/>
      <w:start w:val="1"/>
    </w:lvl>
  </w:abstractNum>
  <w:abstractNum w:abstractNumId="4">
    <w:nsid w:val="2D517796"/>
    <w:multiLevelType w:val="hybridMultilevel"/>
    <w:lvl w:ilvl="0">
      <w:lvlJc w:val="left"/>
      <w:lvlText w:val="1"/>
      <w:numFmt w:val="bullet"/>
      <w:start w:val="1"/>
    </w:lvl>
  </w:abstractNum>
  <w:abstractNum w:abstractNumId="5">
    <w:nsid w:val="580BD78F"/>
    <w:multiLevelType w:val="hybridMultilevel"/>
    <w:lvl w:ilvl="0">
      <w:lvlJc w:val="left"/>
      <w:lvlText w:val="2"/>
      <w:numFmt w:val="bullet"/>
      <w:start w:val="1"/>
    </w:lvl>
  </w:abstractNum>
  <w:abstractNum w:abstractNumId="6">
    <w:nsid w:val="153EA438"/>
    <w:multiLevelType w:val="hybridMultilevel"/>
    <w:lvl w:ilvl="0">
      <w:lvlJc w:val="left"/>
      <w:lvlText w:val="3"/>
      <w:numFmt w:val="bullet"/>
      <w:start w:val="1"/>
    </w:lvl>
  </w:abstractNum>
  <w:abstractNum w:abstractNumId="7">
    <w:nsid w:val="3855585C"/>
    <w:multiLevelType w:val="hybridMultilevel"/>
    <w:lvl w:ilvl="0">
      <w:lvlJc w:val="left"/>
      <w:lvlText w:val="4"/>
      <w:numFmt w:val="bullet"/>
      <w:start w:val="1"/>
    </w:lvl>
  </w:abstractNum>
  <w:abstractNum w:abstractNumId="8">
    <w:nsid w:val="70A64E2A"/>
    <w:multiLevelType w:val="hybridMultilevel"/>
    <w:lvl w:ilvl="0">
      <w:lvlJc w:val="left"/>
      <w:lvlText w:val="5"/>
      <w:numFmt w:val="bullet"/>
      <w:start w:val="1"/>
    </w:lvl>
  </w:abstractNum>
  <w:abstractNum w:abstractNumId="9">
    <w:nsid w:val="6A2342EC"/>
    <w:multiLevelType w:val="hybridMultilevel"/>
    <w:lvl w:ilvl="0">
      <w:lvlJc w:val="left"/>
      <w:lvlText w:val="6"/>
      <w:numFmt w:val="bullet"/>
      <w:start w:val="1"/>
    </w:lvl>
  </w:abstractNum>
  <w:abstractNum w:abstractNumId="10">
    <w:nsid w:val="2A487CB0"/>
    <w:multiLevelType w:val="hybridMultilevel"/>
    <w:lvl w:ilvl="0">
      <w:lvlJc w:val="left"/>
      <w:lvlText w:val="7"/>
      <w:numFmt w:val="bullet"/>
      <w:start w:val="1"/>
    </w:lvl>
  </w:abstractNum>
  <w:abstractNum w:abstractNumId="11">
    <w:nsid w:val="1D4ED43B"/>
    <w:multiLevelType w:val="hybridMultilevel"/>
    <w:lvl w:ilvl="0">
      <w:lvlJc w:val="left"/>
      <w:lvlText w:val="8"/>
      <w:numFmt w:val="bullet"/>
      <w:start w:val="1"/>
    </w:lvl>
  </w:abstractNum>
  <w:abstractNum w:abstractNumId="12">
    <w:nsid w:val="725A06FB"/>
    <w:multiLevelType w:val="hybridMultilevel"/>
    <w:lvl w:ilvl="0">
      <w:lvlJc w:val="left"/>
      <w:lvlText w:val="9"/>
      <w:numFmt w:val="bullet"/>
      <w:start w:val="1"/>
    </w:lvl>
  </w:abstractNum>
  <w:abstractNum w:abstractNumId="13">
    <w:nsid w:val="2CD89A32"/>
    <w:multiLevelType w:val="hybridMultilevel"/>
    <w:lvl w:ilvl="0">
      <w:lvlJc w:val="left"/>
      <w:lvlText w:val="%1"/>
      <w:numFmt w:val="decimal"/>
      <w:start w:val="10"/>
    </w:lvl>
  </w:abstractNum>
  <w:abstractNum w:abstractNumId="14">
    <w:nsid w:val="57E4CCAF"/>
    <w:multiLevelType w:val="hybridMultilevel"/>
    <w:lvl w:ilvl="0">
      <w:lvlJc w:val="left"/>
      <w:lvlText w:val=" "/>
      <w:numFmt w:val="bullet"/>
      <w:start w:val="1"/>
    </w:lvl>
  </w:abstractNum>
  <w:abstractNum w:abstractNumId="15">
    <w:nsid w:val="7A6D8D3C"/>
    <w:multiLevelType w:val="hybridMultilevel"/>
    <w:lvl w:ilvl="0">
      <w:lvlJc w:val="left"/>
      <w:lvlText w:val=" "/>
      <w:numFmt w:val="bullet"/>
      <w:start w:val="1"/>
    </w:lvl>
  </w:abstractNum>
  <w:abstractNum w:abstractNumId="16">
    <w:nsid w:val="4B588F54"/>
    <w:multiLevelType w:val="hybridMultilevel"/>
    <w:lvl w:ilvl="0">
      <w:lvlJc w:val="left"/>
      <w:lvlText w:val="%1"/>
      <w:numFmt w:val="decimal"/>
      <w:start w:val="13"/>
    </w:lvl>
  </w:abstractNum>
  <w:abstractNum w:abstractNumId="17">
    <w:nsid w:val="542289EC"/>
    <w:multiLevelType w:val="hybridMultilevel"/>
    <w:lvl w:ilvl="0">
      <w:lvlJc w:val="left"/>
      <w:lvlText w:val="%1"/>
      <w:numFmt w:val="decimal"/>
      <w:start w:val="16"/>
    </w:lvl>
  </w:abstractNum>
  <w:abstractNum w:abstractNumId="18">
    <w:nsid w:val="6DE91B18"/>
    <w:multiLevelType w:val="hybridMultilevel"/>
    <w:lvl w:ilvl="0">
      <w:lvlJc w:val="left"/>
      <w:lvlText w:val="%1"/>
      <w:numFmt w:val="decimal"/>
      <w:start w:val="18"/>
    </w:lvl>
  </w:abstractNum>
  <w:abstractNum w:abstractNumId="19">
    <w:nsid w:val="38437FDB"/>
    <w:multiLevelType w:val="hybridMultilevel"/>
    <w:lvl w:ilvl="0">
      <w:lvlJc w:val="left"/>
      <w:lvlText w:val="%1"/>
      <w:numFmt w:val="decimal"/>
      <w:start w:val="25"/>
    </w:lvl>
  </w:abstractNum>
  <w:abstractNum w:abstractNumId="20">
    <w:nsid w:val="7644A45C"/>
    <w:multiLevelType w:val="hybridMultilevel"/>
    <w:lvl w:ilvl="0">
      <w:lvlJc w:val="left"/>
      <w:lvlText w:val="%1"/>
      <w:numFmt w:val="decimal"/>
      <w:start w:val="28"/>
    </w:lvl>
  </w:abstractNum>
  <w:abstractNum w:abstractNumId="21">
    <w:nsid w:val="32FFF902"/>
    <w:multiLevelType w:val="hybridMultilevel"/>
    <w:lvl w:ilvl="0">
      <w:lvlJc w:val="left"/>
      <w:lvlText w:val="%1"/>
      <w:numFmt w:val="decimal"/>
      <w:start w:val="31"/>
    </w:lvl>
  </w:abstractNum>
  <w:abstractNum w:abstractNumId="22">
    <w:nsid w:val="684A481A"/>
    <w:multiLevelType w:val="hybridMultilevel"/>
    <w:lvl w:ilvl="0">
      <w:lvlJc w:val="left"/>
      <w:lvlText w:val="&amp;"/>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1"/>
      <w:numFmt w:val="decimal"/>
      <w:start w:val="38"/>
    </w:lvl>
  </w:abstractNum>
  <w:abstractNum w:abstractNumId="25">
    <w:nsid w:val="3DC240FB"/>
    <w:multiLevelType w:val="hybridMultilevel"/>
    <w:lvl w:ilvl="0">
      <w:lvlJc w:val="left"/>
      <w:lvlText w:val=" "/>
      <w:numFmt w:val="bullet"/>
      <w:start w:val="1"/>
    </w:lvl>
  </w:abstractNum>
  <w:abstractNum w:abstractNumId="26">
    <w:nsid w:val="1BA026FA"/>
    <w:multiLevelType w:val="hybridMultilevel"/>
    <w:lvl w:ilvl="0">
      <w:lvlJc w:val="left"/>
      <w:lvlText w:val=" "/>
      <w:numFmt w:val="bullet"/>
      <w:start w:val="1"/>
    </w:lvl>
  </w:abstractNum>
  <w:abstractNum w:abstractNumId="27">
    <w:nsid w:val="79A1DEAA"/>
    <w:multiLevelType w:val="hybridMultilevel"/>
    <w:lvl w:ilvl="0">
      <w:lvlJc w:val="left"/>
      <w:lvlText w:val="%1"/>
      <w:numFmt w:val="decimal"/>
      <w:start w:val="40"/>
    </w:lvl>
  </w:abstractNum>
  <w:abstractNum w:abstractNumId="28">
    <w:nsid w:val="75C6C33A"/>
    <w:multiLevelType w:val="hybridMultilevel"/>
    <w:lvl w:ilvl="0">
      <w:lvlJc w:val="left"/>
      <w:lvlText w:val=" "/>
      <w:numFmt w:val="bullet"/>
      <w:start w:val="1"/>
    </w:lvl>
  </w:abstractNum>
  <w:abstractNum w:abstractNumId="29">
    <w:nsid w:val="12E685FB"/>
    <w:multiLevelType w:val="hybridMultilevel"/>
    <w:lvl w:ilvl="0">
      <w:lvlJc w:val="left"/>
      <w:lvlText w:val=" "/>
      <w:numFmt w:val="bullet"/>
      <w:start w:val="1"/>
    </w:lvl>
  </w:abstractNum>
  <w:abstractNum w:abstractNumId="30">
    <w:nsid w:val="70C6A529"/>
    <w:multiLevelType w:val="hybridMultilevel"/>
    <w:lvl w:ilvl="0">
      <w:lvlJc w:val="left"/>
      <w:lvlText w:val=" "/>
      <w:numFmt w:val="bullet"/>
      <w:start w:val="1"/>
    </w:lvl>
  </w:abstractNum>
  <w:abstractNum w:abstractNumId="31">
    <w:nsid w:val="520EEDD1"/>
    <w:multiLevelType w:val="hybridMultilevel"/>
    <w:lvl w:ilvl="0">
      <w:lvlJc w:val="left"/>
      <w:lvlText w:val=" "/>
      <w:numFmt w:val="bullet"/>
      <w:start w:val="1"/>
    </w:lvl>
  </w:abstractNum>
  <w:abstractNum w:abstractNumId="32">
    <w:nsid w:val="374A3FE6"/>
    <w:multiLevelType w:val="hybridMultilevel"/>
    <w:lvl w:ilvl="0">
      <w:lvlJc w:val="left"/>
      <w:lvlText w:val=" "/>
      <w:numFmt w:val="bullet"/>
      <w:start w:val="1"/>
    </w:lvl>
  </w:abstractNum>
  <w:abstractNum w:abstractNumId="33">
    <w:nsid w:val="4F4EF005"/>
    <w:multiLevelType w:val="hybridMultilevel"/>
    <w:lvl w:ilvl="0">
      <w:lvlJc w:val="left"/>
      <w:lvlText w:val=" "/>
      <w:numFmt w:val="bullet"/>
      <w:start w:val="1"/>
    </w:lvl>
  </w:abstractNum>
  <w:abstractNum w:abstractNumId="34">
    <w:nsid w:val="23F9C13C"/>
    <w:multiLevelType w:val="hybridMultilevel"/>
    <w:lvl w:ilvl="0">
      <w:lvlJc w:val="left"/>
      <w:lvlText w:val=" "/>
      <w:numFmt w:val="bullet"/>
      <w:start w:val="1"/>
    </w:lvl>
  </w:abstractNum>
  <w:abstractNum w:abstractNumId="35">
    <w:nsid w:val="649BB77C"/>
    <w:multiLevelType w:val="hybridMultilevel"/>
    <w:lvl w:ilvl="0">
      <w:lvlJc w:val="left"/>
      <w:lvlText w:val=" "/>
      <w:numFmt w:val="bullet"/>
      <w:start w:val="1"/>
    </w:lvl>
  </w:abstractNum>
  <w:abstractNum w:abstractNumId="36">
    <w:nsid w:val="275AC794"/>
    <w:multiLevelType w:val="hybridMultilevel"/>
    <w:lvl w:ilvl="0">
      <w:lvlJc w:val="left"/>
      <w:lvlText w:val=" "/>
      <w:numFmt w:val="bullet"/>
      <w:start w:val="1"/>
    </w:lvl>
  </w:abstractNum>
  <w:abstractNum w:abstractNumId="37">
    <w:nsid w:val="39386575"/>
    <w:multiLevelType w:val="hybridMultilevel"/>
    <w:lvl w:ilvl="0">
      <w:lvlJc w:val="left"/>
      <w:lvlText w:val=" "/>
      <w:numFmt w:val="bullet"/>
      <w:start w:val="1"/>
    </w:lvl>
  </w:abstractNum>
  <w:abstractNum w:abstractNumId="38">
    <w:nsid w:val="1CF10FD8"/>
    <w:multiLevelType w:val="hybridMultilevel"/>
    <w:lvl w:ilvl="0">
      <w:lvlJc w:val="left"/>
      <w:lvlText w:val=" "/>
      <w:numFmt w:val="bullet"/>
      <w:start w:val="1"/>
    </w:lvl>
  </w:abstractNum>
  <w:abstractNum w:abstractNumId="39">
    <w:nsid w:val="180115BE"/>
    <w:multiLevelType w:val="hybridMultilevel"/>
    <w:lvl w:ilvl="0">
      <w:lvlJc w:val="left"/>
      <w:lvlText w:val=" "/>
      <w:numFmt w:val="bullet"/>
      <w:start w:val="1"/>
    </w:lvl>
  </w:abstractNum>
  <w:abstractNum w:abstractNumId="40">
    <w:nsid w:val="235BA861"/>
    <w:multiLevelType w:val="hybridMultilevel"/>
    <w:lvl w:ilvl="0">
      <w:lvlJc w:val="left"/>
      <w:lvlText w:val=" "/>
      <w:numFmt w:val="bullet"/>
      <w:start w:val="1"/>
    </w:lvl>
  </w:abstractNum>
  <w:abstractNum w:abstractNumId="41">
    <w:nsid w:val="47398C89"/>
    <w:multiLevelType w:val="hybridMultilevel"/>
    <w:lvl w:ilvl="0">
      <w:lvlJc w:val="left"/>
      <w:lvlText w:val="&amp;"/>
      <w:numFmt w:val="bullet"/>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2"/>
    </w:lvl>
  </w:abstractNum>
  <w:abstractNum w:abstractNumId="44">
    <w:nsid w:val="741226BB"/>
    <w:multiLevelType w:val="hybridMultilevel"/>
    <w:lvl w:ilvl="0">
      <w:lvlJc w:val="left"/>
      <w:lvlText w:val="(%1)"/>
      <w:numFmt w:val="decimal"/>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
      <w:numFmt w:val="bullet"/>
      <w:start w:val="1"/>
    </w:lvl>
  </w:abstractNum>
  <w:abstractNum w:abstractNumId="47">
    <w:nsid w:val="3F6AB60F"/>
    <w:multiLevelType w:val="hybridMultilevel"/>
    <w:lvl w:ilvl="0">
      <w:lvlJc w:val="left"/>
      <w:lvlText w:val="%1."/>
      <w:numFmt w:val="decimal"/>
      <w:start w:val="1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
      <w:numFmt w:val="bullet"/>
      <w:start w:val="1"/>
    </w:lvl>
    <w:lvl w:ilvl="1">
      <w:lvlJc w:val="left"/>
      <w:lvlText w:val="(%2)"/>
      <w:numFmt w:val="decimal"/>
      <w:start w:val="12"/>
    </w:lvl>
  </w:abstractNum>
  <w:abstractNum w:abstractNumId="50">
    <w:nsid w:val="77AE35EB"/>
    <w:multiLevelType w:val="hybridMultilevel"/>
    <w:lvl w:ilvl="0">
      <w:lvlJc w:val="left"/>
      <w:lvlText w:val=" "/>
      <w:numFmt w:val="bullet"/>
      <w:start w:val="1"/>
    </w:lvl>
  </w:abstractNum>
  <w:abstractNum w:abstractNumId="51">
    <w:nsid w:val="579BE4F1"/>
    <w:multiLevelType w:val="hybridMultilevel"/>
    <w:lvl w:ilvl="0">
      <w:lvlJc w:val="left"/>
      <w:lvlText w:val=" "/>
      <w:numFmt w:val="bullet"/>
      <w:start w:val="1"/>
    </w:lvl>
  </w:abstractNum>
  <w:abstractNum w:abstractNumId="52">
    <w:nsid w:val="310C50B3"/>
    <w:multiLevelType w:val="hybridMultilevel"/>
    <w:lvl w:ilvl="0">
      <w:lvlJc w:val="left"/>
      <w:lvlText w:val=" "/>
      <w:numFmt w:val="bullet"/>
      <w:start w:val="1"/>
    </w:lvl>
  </w:abstractNum>
  <w:abstractNum w:abstractNumId="53">
    <w:nsid w:val="5FF87E05"/>
    <w:multiLevelType w:val="hybridMultilevel"/>
    <w:lvl w:ilvl="0">
      <w:lvlJc w:val="left"/>
      <w:lvlText w:val=" "/>
      <w:numFmt w:val="bullet"/>
      <w:start w:val="1"/>
    </w:lvl>
  </w:abstractNum>
  <w:abstractNum w:abstractNumId="54">
    <w:nsid w:val="2F305DEF"/>
    <w:multiLevelType w:val="hybridMultilevel"/>
    <w:lvl w:ilvl="0">
      <w:lvlJc w:val="left"/>
      <w:lvlText w:val=" "/>
      <w:numFmt w:val="bullet"/>
      <w:start w:val="1"/>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decimal"/>
      <w:start w:val="30"/>
    </w:lvl>
  </w:abstractNum>
  <w:abstractNum w:abstractNumId="57">
    <w:nsid w:val="4AD084E9"/>
    <w:multiLevelType w:val="hybridMultilevel"/>
    <w:lvl w:ilvl="0">
      <w:lvlJc w:val="left"/>
      <w:lvlText w:val="(%1)"/>
      <w:numFmt w:val="decimal"/>
      <w:start w:val="1"/>
    </w:lvl>
  </w:abstractNum>
  <w:abstractNum w:abstractNumId="58">
    <w:nsid w:val="1F48EAA1"/>
    <w:multiLevelType w:val="hybridMultilevel"/>
    <w:lvl w:ilvl="0">
      <w:lvlJc w:val="left"/>
      <w:lvlText w:val="(%1)"/>
      <w:numFmt w:val="decimal"/>
      <w:start w:val="1"/>
    </w:lvl>
  </w:abstractNum>
  <w:abstractNum w:abstractNumId="59">
    <w:nsid w:val="1381823A"/>
    <w:multiLevelType w:val="hybridMultilevel"/>
    <w:lvl w:ilvl="0">
      <w:lvlJc w:val="left"/>
      <w:lvlText w:val=" "/>
      <w:numFmt w:val="bullet"/>
      <w:start w:val="1"/>
    </w:lvl>
  </w:abstractNum>
  <w:abstractNum w:abstractNumId="60">
    <w:nsid w:val="5DB70AE5"/>
    <w:multiLevelType w:val="hybridMultilevel"/>
    <w:lvl w:ilvl="0">
      <w:lvlJc w:val="left"/>
      <w:lvlText w:val="(%1)"/>
      <w:numFmt w:val="decimal"/>
      <w:start w:val="1"/>
    </w:lvl>
    <w:lvl w:ilvl="1">
      <w:lvlJc w:val="left"/>
      <w:lvlText w:val="(%2)"/>
      <w:numFmt w:val="lowerRoman"/>
      <w:start w:val="2"/>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
      <w:numFmt w:val="bullet"/>
      <w:start w:val="1"/>
    </w:lvl>
  </w:abstractNum>
  <w:abstractNum w:abstractNumId="64">
    <w:nsid w:val="5F5E7FD0"/>
    <w:multiLevelType w:val="hybridMultilevel"/>
    <w:lvl w:ilvl="0">
      <w:lvlJc w:val="left"/>
      <w:lvlText w:val="**"/>
      <w:numFmt w:val="bullet"/>
      <w:start w:val="1"/>
    </w:lvl>
  </w:abstractNum>
  <w:abstractNum w:abstractNumId="65">
    <w:nsid w:val="98A3148"/>
    <w:multiLevelType w:val="hybridMultilevel"/>
    <w:lvl w:ilvl="0">
      <w:lvlJc w:val="left"/>
      <w:lvlText w:val=" "/>
      <w:numFmt w:val="bullet"/>
      <w:start w:val="1"/>
    </w:lvl>
  </w:abstractNum>
  <w:abstractNum w:abstractNumId="66">
    <w:nsid w:val="799D0247"/>
    <w:multiLevelType w:val="hybridMultilevel"/>
    <w:lvl w:ilvl="0">
      <w:lvlJc w:val="left"/>
      <w:lvlText w:val=" "/>
      <w:numFmt w:val="bullet"/>
      <w:start w:val="1"/>
    </w:lvl>
    <w:lvl w:ilvl="1">
      <w:lvlJc w:val="left"/>
      <w:lvlText w:val=" "/>
      <w:numFmt w:val="bullet"/>
      <w:start w:val="1"/>
    </w:lvl>
  </w:abstractNum>
  <w:abstractNum w:abstractNumId="67">
    <w:nsid w:val="6B94764"/>
    <w:multiLevelType w:val="hybridMultilevel"/>
    <w:lvl w:ilvl="0">
      <w:lvlJc w:val="left"/>
      <w:lvlText w:val="%1."/>
      <w:numFmt w:val="decimal"/>
      <w:start w:val="1"/>
    </w:lvl>
  </w:abstractNum>
  <w:abstractNum w:abstractNumId="68">
    <w:nsid w:val="42C296BD"/>
    <w:multiLevelType w:val="hybridMultilevel"/>
    <w:lvl w:ilvl="0">
      <w:lvlJc w:val="left"/>
      <w:lvlText w:val=" "/>
      <w:numFmt w:val="bullet"/>
      <w:start w:val="1"/>
    </w:lvl>
  </w:abstractNum>
  <w:abstractNum w:abstractNumId="69">
    <w:nsid w:val="168E121F"/>
    <w:multiLevelType w:val="hybridMultilevel"/>
    <w:lvl w:ilvl="0">
      <w:lvlJc w:val="left"/>
      <w:lvlText w:val=" "/>
      <w:numFmt w:val="bullet"/>
      <w:start w:val="1"/>
    </w:lvl>
    <w:lvl w:ilvl="1">
      <w:lvlJc w:val="left"/>
      <w:lvlText w:val=" "/>
      <w:numFmt w:val="bullet"/>
      <w:start w:val="1"/>
    </w:lvl>
  </w:abstractNum>
  <w:abstractNum w:abstractNumId="70">
    <w:nsid w:val="1EBA5D23"/>
    <w:multiLevelType w:val="hybridMultilevel"/>
    <w:lvl w:ilvl="0">
      <w:lvlJc w:val="left"/>
      <w:lvlText w:val=" "/>
      <w:numFmt w:val="bullet"/>
      <w:start w:val="1"/>
    </w:lvl>
  </w:abstractNum>
  <w:abstractNum w:abstractNumId="71">
    <w:nsid w:val="661E3F1E"/>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72">
    <w:nsid w:val="5DC79EA8"/>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62" Type="http://schemas.openxmlformats.org/officeDocument/2006/relationships/image" Target="media/image125.png"/><Relationship Id="rId163" Type="http://schemas.openxmlformats.org/officeDocument/2006/relationships/image" Target="media/image126.png"/><Relationship Id="rId164" Type="http://schemas.openxmlformats.org/officeDocument/2006/relationships/image" Target="media/image127.png"/><Relationship Id="rId165" Type="http://schemas.openxmlformats.org/officeDocument/2006/relationships/image" Target="media/image128.png"/><Relationship Id="rId166" Type="http://schemas.openxmlformats.org/officeDocument/2006/relationships/image" Target="media/image129.png"/><Relationship Id="rId167" Type="http://schemas.openxmlformats.org/officeDocument/2006/relationships/image" Target="media/image130.png"/><Relationship Id="rId168" Type="http://schemas.openxmlformats.org/officeDocument/2006/relationships/image" Target="media/image131.png"/><Relationship Id="rId169" Type="http://schemas.openxmlformats.org/officeDocument/2006/relationships/image" Target="media/image132.png"/><Relationship Id="rId170" Type="http://schemas.openxmlformats.org/officeDocument/2006/relationships/image" Target="media/image133.png"/><Relationship Id="rId171" Type="http://schemas.openxmlformats.org/officeDocument/2006/relationships/image" Target="media/image134.png"/><Relationship Id="rId196" Type="http://schemas.openxmlformats.org/officeDocument/2006/relationships/image" Target="media/image135.png"/><Relationship Id="rId197" Type="http://schemas.openxmlformats.org/officeDocument/2006/relationships/image" Target="media/image136.png"/><Relationship Id="rId198" Type="http://schemas.openxmlformats.org/officeDocument/2006/relationships/image" Target="media/image137.png"/><Relationship Id="rId203" Type="http://schemas.openxmlformats.org/officeDocument/2006/relationships/image" Target="media/image138.png"/><Relationship Id="rId204" Type="http://schemas.openxmlformats.org/officeDocument/2006/relationships/image" Target="media/image139.png"/><Relationship Id="rId205" Type="http://schemas.openxmlformats.org/officeDocument/2006/relationships/image" Target="media/image140.png"/><Relationship Id="rId206" Type="http://schemas.openxmlformats.org/officeDocument/2006/relationships/image" Target="media/image141.png"/><Relationship Id="rId207" Type="http://schemas.openxmlformats.org/officeDocument/2006/relationships/image" Target="media/image142.png"/><Relationship Id="rId208" Type="http://schemas.openxmlformats.org/officeDocument/2006/relationships/image" Target="media/image143.png"/><Relationship Id="rId209" Type="http://schemas.openxmlformats.org/officeDocument/2006/relationships/image" Target="media/image144.png"/><Relationship Id="rId210" Type="http://schemas.openxmlformats.org/officeDocument/2006/relationships/image" Target="media/image145.png"/><Relationship Id="rId211" Type="http://schemas.openxmlformats.org/officeDocument/2006/relationships/image" Target="media/image146.png"/><Relationship Id="rId212" Type="http://schemas.openxmlformats.org/officeDocument/2006/relationships/image" Target="media/image147.png"/><Relationship Id="rId213" Type="http://schemas.openxmlformats.org/officeDocument/2006/relationships/image" Target="media/image148.png"/><Relationship Id="rId214" Type="http://schemas.openxmlformats.org/officeDocument/2006/relationships/image" Target="media/image149.png"/><Relationship Id="rId215" Type="http://schemas.openxmlformats.org/officeDocument/2006/relationships/image" Target="media/image150.png"/><Relationship Id="rId216" Type="http://schemas.openxmlformats.org/officeDocument/2006/relationships/image" Target="media/image151.png"/><Relationship Id="rId129" Type="http://schemas.openxmlformats.org/officeDocument/2006/relationships/hyperlink" Target="http://www.sec.gov/Archives/edgar/data/1946563/000157587223000186/cm241_ex3-1.htm" TargetMode="External"/><Relationship Id="rId130" Type="http://schemas.openxmlformats.org/officeDocument/2006/relationships/hyperlink" Target="http://www.sec.gov/Archives/edgar/data/1946563/000157587223000644/cm302_ex3-2.htm" TargetMode="External"/><Relationship Id="rId131" Type="http://schemas.openxmlformats.org/officeDocument/2006/relationships/hyperlink" Target="http://www.sec.gov/Archives/edgar/data/1946563/000157587223000644/cm302_ex3-3.htm" TargetMode="External"/><Relationship Id="rId132" Type="http://schemas.openxmlformats.org/officeDocument/2006/relationships/hyperlink" Target="http://www.sec.gov/Archives/edgar/data/1946563/000157587223000186/cm241_ex3-4.htm" TargetMode="External"/><Relationship Id="rId133" Type="http://schemas.openxmlformats.org/officeDocument/2006/relationships/hyperlink" Target="http://www.sec.gov/Archives/edgar/data/1946563/000121390024028577/ea020235301ex4-1_60degrees.htm" TargetMode="External"/><Relationship Id="rId134" Type="http://schemas.openxmlformats.org/officeDocument/2006/relationships/hyperlink" Target="http://www.sec.gov/Archives/edgar/data/1946563/000121390024005285/ea191855ex4-2_60degree.htm" TargetMode="External"/><Relationship Id="rId135" Type="http://schemas.openxmlformats.org/officeDocument/2006/relationships/hyperlink" Target="http://www.sec.gov/Archives/edgar/data/1946563/000121390024005285/ea191855ex4-3_60degree.htm" TargetMode="External"/><Relationship Id="rId136" Type="http://schemas.openxmlformats.org/officeDocument/2006/relationships/hyperlink" Target="http://www.sec.gov/Archives/edgar/data/1946563/000121390024005285/ea191855ex4-4_60degree.htm" TargetMode="External"/><Relationship Id="rId137" Type="http://schemas.openxmlformats.org/officeDocument/2006/relationships/hyperlink" Target="http://www.sec.gov/Archives/edgar/data/1946563/000157587223000186/cm241_ex10-1.htm" TargetMode="External"/><Relationship Id="rId138" Type="http://schemas.openxmlformats.org/officeDocument/2006/relationships/hyperlink" Target="http://www.sec.gov/Archives/edgar/data/1946563/000157587223000186/cm241_ex10-2.htm" TargetMode="External"/><Relationship Id="rId139" Type="http://schemas.openxmlformats.org/officeDocument/2006/relationships/hyperlink" Target="http://www.sec.gov/Archives/edgar/data/1946563/000157587223000186/cm241_ex10-4.htm" TargetMode="External"/><Relationship Id="rId140" Type="http://schemas.openxmlformats.org/officeDocument/2006/relationships/hyperlink" Target="http://www.sec.gov/Archives/edgar/data/1946563/000157587223000186/cm241_ex10-5.htm" TargetMode="External"/><Relationship Id="rId144" Type="http://schemas.openxmlformats.org/officeDocument/2006/relationships/hyperlink" Target="http://www.sec.gov/Archives/edgar/data/1946563/000157587223000186/cm241_ex10-7.htm" TargetMode="External"/><Relationship Id="rId145" Type="http://schemas.openxmlformats.org/officeDocument/2006/relationships/hyperlink" Target="http://www.sec.gov/Archives/edgar/data/1946563/000157587223000186/cm241_ex10-8.htm" TargetMode="External"/><Relationship Id="rId146" Type="http://schemas.openxmlformats.org/officeDocument/2006/relationships/hyperlink" Target="http://www.sec.gov/Archives/edgar/data/1946563/000157587223000186/cm241_ex10-10.htm" TargetMode="External"/><Relationship Id="rId147" Type="http://schemas.openxmlformats.org/officeDocument/2006/relationships/hyperlink" Target="http://www.sec.gov/Archives/edgar/data/1946563/000157587223000186/cm241_ex10-11.htm" TargetMode="External"/><Relationship Id="rId148" Type="http://schemas.openxmlformats.org/officeDocument/2006/relationships/hyperlink" Target="http://www.sec.gov/Archives/edgar/data/1946563/000157587223000186/cm241_ex10-13.htm" TargetMode="External"/><Relationship Id="rId149" Type="http://schemas.openxmlformats.org/officeDocument/2006/relationships/hyperlink" Target="http://www.sec.gov/Archives/edgar/data/1946563/000157587223000186/cm241_ex10-14.htm" TargetMode="External"/><Relationship Id="rId150" Type="http://schemas.openxmlformats.org/officeDocument/2006/relationships/hyperlink" Target="http://www.sec.gov/Archives/edgar/data/1946563/000157587223000186/cm241_ex10-19.htm" TargetMode="External"/><Relationship Id="rId151" Type="http://schemas.openxmlformats.org/officeDocument/2006/relationships/hyperlink" Target="http://www.sec.gov/Archives/edgar/data/1946563/000157587223000507/cm270_ex10-20.htm" TargetMode="External"/><Relationship Id="rId152" Type="http://schemas.openxmlformats.org/officeDocument/2006/relationships/hyperlink" Target="http://www.sec.gov/Archives/edgar/data/1946563/000157587223000507/cm270_ex10-21.htm" TargetMode="External"/><Relationship Id="rId153" Type="http://schemas.openxmlformats.org/officeDocument/2006/relationships/hyperlink" Target="http://www.sec.gov/Archives/edgar/data/1946563/000157587223000507/cm270_ex10-22.htm" TargetMode="External"/><Relationship Id="rId154" Type="http://schemas.openxmlformats.org/officeDocument/2006/relationships/hyperlink" Target="http://www.sec.gov/Archives/edgar/data/1946563/000157587223000186/cm241_ex10-23.htm" TargetMode="External"/><Relationship Id="rId155" Type="http://schemas.openxmlformats.org/officeDocument/2006/relationships/hyperlink" Target="http://www.sec.gov/Archives/edgar/data/1946563/000157587223000507/cm270_ex10-33.htm" TargetMode="External"/><Relationship Id="rId156" Type="http://schemas.openxmlformats.org/officeDocument/2006/relationships/hyperlink" Target="http://www.sec.gov/Archives/edgar/data/1946563/000157587223000507/cm270_ex10-34.htm" TargetMode="External"/><Relationship Id="rId157" Type="http://schemas.openxmlformats.org/officeDocument/2006/relationships/hyperlink" Target="http://www.sec.gov/Archives/edgar/data/1946563/000157587223000507/cm270_ex10-35.htm" TargetMode="External"/><Relationship Id="rId158" Type="http://schemas.openxmlformats.org/officeDocument/2006/relationships/hyperlink" Target="http://www.sec.gov/Archives/edgar/data/1946563/000157587223000790/cm313_ex10-36.htm" TargetMode="External"/><Relationship Id="rId159" Type="http://schemas.openxmlformats.org/officeDocument/2006/relationships/hyperlink" Target="http://www.sec.gov/Archives/edgar/data/1946563/000157587223000790/cm313_ex10-37.htm" TargetMode="External"/><Relationship Id="rId160" Type="http://schemas.openxmlformats.org/officeDocument/2006/relationships/hyperlink" Target="http://www.sec.gov/Archives/edgar/data/1946563/000157587223000790/cm313_ex10-39.htm" TargetMode="External"/><Relationship Id="rId161" Type="http://schemas.openxmlformats.org/officeDocument/2006/relationships/hyperlink" Target="http://www.sec.gov/Archives/edgar/data/1946563/000157587223000790/cm313_ex10-40.htm" TargetMode="External"/><Relationship Id="rId172" Type="http://schemas.openxmlformats.org/officeDocument/2006/relationships/hyperlink" Target="http://www.sec.gov/Archives/edgar/data/1946563/000157587223000790/cm313_ex10-42.htm" TargetMode="External"/><Relationship Id="rId173" Type="http://schemas.openxmlformats.org/officeDocument/2006/relationships/hyperlink" Target="http://www.sec.gov/Archives/edgar/data/1946563/000157587223000790/cm313_ex10-43.htm" TargetMode="External"/><Relationship Id="rId174" Type="http://schemas.openxmlformats.org/officeDocument/2006/relationships/hyperlink" Target="http://www.sec.gov/Archives/edgar/data/1946563/000157587223000790/cm313_ex10-45.htm" TargetMode="External"/><Relationship Id="rId175" Type="http://schemas.openxmlformats.org/officeDocument/2006/relationships/hyperlink" Target="http://www.sec.gov/Archives/edgar/data/1946563/000157587223000790/cm313_ex10-46.htm" TargetMode="External"/><Relationship Id="rId176" Type="http://schemas.openxmlformats.org/officeDocument/2006/relationships/hyperlink" Target="http://www.sec.gov/Archives/edgar/data/1946563/000157587223000790/cm313_ex10-48.htm" TargetMode="External"/><Relationship Id="rId177" Type="http://schemas.openxmlformats.org/officeDocument/2006/relationships/hyperlink" Target="http://www.sec.gov/Archives/edgar/data/1946563/000157587223000790/cm313_ex10-49.htm" TargetMode="External"/><Relationship Id="rId178" Type="http://schemas.openxmlformats.org/officeDocument/2006/relationships/hyperlink" Target="http://www.sec.gov/Archives/edgar/data/1946563/000157587223000911/cm339_ex10-56.htm" TargetMode="External"/><Relationship Id="rId179" Type="http://schemas.openxmlformats.org/officeDocument/2006/relationships/hyperlink" Target="http://www.sec.gov/Archives/edgar/data/1946563/000157587223000911/cm339_ex10-57.htm" TargetMode="External"/><Relationship Id="rId180" Type="http://schemas.openxmlformats.org/officeDocument/2006/relationships/hyperlink" Target="http://www.sec.gov/Archives/edgar/data/1946563/000157587223000911/cm339_ex10-58.htm" TargetMode="External"/><Relationship Id="rId181" Type="http://schemas.openxmlformats.org/officeDocument/2006/relationships/hyperlink" Target="http://www.sec.gov/Archives/edgar/data/1946563/000157587223000911/cm339_ex10-59.htm" TargetMode="External"/><Relationship Id="rId182" Type="http://schemas.openxmlformats.org/officeDocument/2006/relationships/hyperlink" Target="https://www.sec.gov/Archives/edgar/data/1946563/000121390025008463/ea022931001ex10-1_60degrees.htm" TargetMode="External"/><Relationship Id="rId183" Type="http://schemas.openxmlformats.org/officeDocument/2006/relationships/hyperlink" Target="https://www.sec.gov/Archives/edgar/data/1946563/000121390025008463/ea022931001ex4-1_60degrees.htm" TargetMode="External"/><Relationship Id="rId184" Type="http://schemas.openxmlformats.org/officeDocument/2006/relationships/hyperlink" Target="https://www.sec.gov/Archives/edgar/data/1946563/000121390025008463/ea022931001ex4-2_60degrees.htm" TargetMode="External"/><Relationship Id="rId185" Type="http://schemas.openxmlformats.org/officeDocument/2006/relationships/hyperlink" Target="https://www.sec.gov/Archives/edgar/data/1946563/000121390025010962/ea023022801ex10-1_60degrees.htm" TargetMode="External"/><Relationship Id="rId186" Type="http://schemas.openxmlformats.org/officeDocument/2006/relationships/hyperlink" Target="https://www.sec.gov/Archives/edgar/data/1946563/000121390025010962/ea023022801ex4-1_60degrees.htm" TargetMode="External"/><Relationship Id="rId187" Type="http://schemas.openxmlformats.org/officeDocument/2006/relationships/hyperlink" Target="https://www.sec.gov/Archives/edgar/data/1946563/000121390025010962/ea023022801ex4-2_60degrees.htm" TargetMode="External"/><Relationship Id="rId188" Type="http://schemas.openxmlformats.org/officeDocument/2006/relationships/hyperlink" Target="https://www.sec.gov/Archives/edgar/data/1946563/000121390024076515/ea021375701ex10-1_60degrees.htm" TargetMode="External"/><Relationship Id="rId189" Type="http://schemas.openxmlformats.org/officeDocument/2006/relationships/hyperlink" Target="https://www.sec.gov/Archives/edgar/data/1946563/000121390024076515/ea021375701ex10-2_60degrees.htm" TargetMode="External"/><Relationship Id="rId190" Type="http://schemas.openxmlformats.org/officeDocument/2006/relationships/hyperlink" Target="https://www.sec.gov/Archives/edgar/data/1946563/000121390024076515/ea021375701ex10-3_60degrees.htm" TargetMode="External"/><Relationship Id="rId191" Type="http://schemas.openxmlformats.org/officeDocument/2006/relationships/hyperlink" Target="https://www.sec.gov/Archives/edgar/data/1946563/000121390024076515/ea021375701ex10-4_60degrees.htm" TargetMode="External"/><Relationship Id="rId192" Type="http://schemas.openxmlformats.org/officeDocument/2006/relationships/hyperlink" Target="https://www.sec.gov/Archives/edgar/data/1946563/000121390024076515/ea021375701ex10-5_60degrees.htm" TargetMode="External"/><Relationship Id="rId193" Type="http://schemas.openxmlformats.org/officeDocument/2006/relationships/hyperlink" Target="https://www.sec.gov/Archives/edgar/data/1946563/000121390024076515/ea021375701ex10-6_60degrees.htm" TargetMode="External"/><Relationship Id="rId194" Type="http://schemas.openxmlformats.org/officeDocument/2006/relationships/hyperlink" Target="http://www.sec.gov/Archives/edgar/data/1946563/000157587223000186/cm241_ex99-4.htm" TargetMode="External"/><Relationship Id="rId195" Type="http://schemas.openxmlformats.org/officeDocument/2006/relationships/hyperlink" Target="http://www.sec.gov/Archives/edgar/data/1946563/000157587223000186/cm241_ex21-1.htm" TargetMode="External"/><Relationship Id="rId199" Type="http://schemas.openxmlformats.org/officeDocument/2006/relationships/hyperlink" Target="http://www.sec.gov/Archives/edgar/data/1946563/000121390024028577/ea020235301ex97-1_60degree.htm" TargetMode="External"/><Relationship Id="rId200" Type="http://schemas.openxmlformats.org/officeDocument/2006/relationships/hyperlink" Target="http://www.sec.gov/Archives/edgar/data/1946563/000157587223000644/cm302_ex99-5.htm" TargetMode="External"/><Relationship Id="rId201" Type="http://schemas.openxmlformats.org/officeDocument/2006/relationships/hyperlink" Target="http://www.sec.gov/Archives/edgar/data/1946563/000157587223000644/cm302_ex99-6.htm" TargetMode="External"/><Relationship Id="rId202" Type="http://schemas.openxmlformats.org/officeDocument/2006/relationships/hyperlink" Target="http://www.sec.gov/Archives/edgar/data/1946563/000157587223000644/cm302_ex9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2026-03-30T16:54:21Z</dcterms:created>
  <dcterms:modified xsi:type="dcterms:W3CDTF">2026-03-30T16:54:21Z</dcterms:modified>
</cp:coreProperties>
</file>