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333-280796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dated March 11, 2026,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 2026, and September 5,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Prospectus dated July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142875</wp:posOffset>
            </wp:positionV>
            <wp:extent cx="2434590" cy="969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4590" cy="969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$565,000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amends and supplements the prospectus supplements dated each of September 5, 2025, March 2, 2026 and March 11, 2026, and the accompanying base prospectus dated July 18, 2024 (collectively, the “</w:t>
      </w:r>
      <w:r>
        <w:rPr>
          <w:rFonts w:ascii="Times New Roman" w:cs="Times New Roman" w:eastAsia="Times New Roman" w:hAnsi="Times New Roman"/>
          <w:sz w:val="18"/>
          <w:szCs w:val="18"/>
          <w:b w:val="1"/>
          <w:bCs w:val="1"/>
          <w:color w:val="auto"/>
        </w:rPr>
        <w:t>ATM Prospectus</w:t>
      </w:r>
      <w:r>
        <w:rPr>
          <w:rFonts w:ascii="Times New Roman" w:cs="Times New Roman" w:eastAsia="Times New Roman" w:hAnsi="Times New Roman"/>
          <w:sz w:val="18"/>
          <w:szCs w:val="18"/>
          <w:color w:val="auto"/>
        </w:rPr>
        <w:t>”), relating to the offer and sale of shares of our common stock from time to time pursuant to the terms of the At The Market Offering Agreement dated September 5, 2025 (the “</w:t>
      </w:r>
      <w:r>
        <w:rPr>
          <w:rFonts w:ascii="Times New Roman" w:cs="Times New Roman" w:eastAsia="Times New Roman" w:hAnsi="Times New Roman"/>
          <w:sz w:val="18"/>
          <w:szCs w:val="18"/>
          <w:b w:val="1"/>
          <w:b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H.C. Wainwright &amp; Co., LLC (the “</w:t>
      </w:r>
      <w:r>
        <w:rPr>
          <w:rFonts w:ascii="Times New Roman" w:cs="Times New Roman" w:eastAsia="Times New Roman" w:hAnsi="Times New Roman"/>
          <w:sz w:val="18"/>
          <w:szCs w:val="18"/>
          <w:b w:val="1"/>
          <w:bCs w:val="1"/>
          <w:color w:val="auto"/>
        </w:rPr>
        <w:t>Sales Agent</w:t>
      </w:r>
      <w:r>
        <w:rPr>
          <w:rFonts w:ascii="Times New Roman" w:cs="Times New Roman" w:eastAsia="Times New Roman" w:hAnsi="Times New Roman"/>
          <w:sz w:val="18"/>
          <w:szCs w:val="18"/>
          <w:color w:val="auto"/>
        </w:rPr>
        <w:t>”), acting as sales agent or principal. This Prospectus Supplement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ATM Prospectus, and is qualified by reference thereto, except to the extent that the information herein amends or supersedes the information contained in the ATM Prospectus. This Prospectus Supplement is not complete without and may only be delivered or utilized in connection with the ATM Prospectus, and any future amendments or supplements thereto.</w:t>
      </w:r>
    </w:p>
    <w:p>
      <w:pPr>
        <w:spacing w:after="0" w:line="18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filing this Prospectus Supplement to amend the ATM Prospectus to update the amount of shares of our common stock we may offer and sell to or through the Sales Agent pursuant to the Sales Agreement to $565,000.00, which gives effect to the 325,200 of shares that were previously sold for aggregate gross proceeds of $980,510.52 pursuant to the Sales Agreement under the ATM Prospectus through the date of this Prospectus Supplement.</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our public float, which is equal to the aggregate market value of our outstanding voting and non-voting common stock, held by non-affiliates, was approximately $12,747,587, based on 2,472,949 outstanding shares of common stock, of which approximately 2,451,459 shares were held by non-affiliates, and a closing sale price of our common stock of $5.20 per share on January 28, 2026. Pursuant to General Instruction I.B.6 of Form S-3, in no event will we sell securities in a public primary offering under the registration statement of which this Prospectus Supplement and the ATM Prospectus forms a part with a value exceeding more than one-third of our public float in any 12-calendar-month period so long as our public float remains below $75.0 million. As of the date hereof, we have offered and sold $3,684,110 of shares of our common stock pursuant to General Instruction I.B.6 of Form S-3 during the prior 12-calendar month period that ends on and includes the date hereof.</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20, 2026, we effected a reverse stock split of our outstanding common stock at a ratio of one-for-four (1:4). All share information presented in this Prospectus Supplement gives effect to this reverse stock split.</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“SXTP.” The last reported sale price of our common stock on The Nasdaq Capital Market on March 12, 2026, was $2.91 per share.</w:t>
      </w:r>
    </w:p>
    <w:p>
      <w:pPr>
        <w:spacing w:after="0" w:line="15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“RISK FACTORS” BEGINNING ON PAGE S-20 OF THE ATM PROSPECTUS AND IN THE DOCUMENTS INCORPORATED BY REFERENCE IN THE REGISTRATION STATEMENT CONCERNING FACTORS YOU SHOULD CONSIDER BEFORE INVESTING IN OUR COMMON STOCK.</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and the accompanying prospectus. Any representation to the contrary is a criminal offense.</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March 13, 2026</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2026-03-13T16:19:14Z</dcterms:created>
  <dcterms:modified xsi:type="dcterms:W3CDTF">2026-03-13T16:19:14Z</dcterms:modified>
</cp:coreProperties>
</file>