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60 DEGREES PHARMACEUTICALS,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07/22/2026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42"/>
        <w:gridCol w:w="8163"/>
      </w:tblGrid>
      <w:tr>
        <w:trPr/>
        <w:tc>
          <w:tcPr>
            <w:tcW w:w="2042" w:type="dxa"/>
            <w:tcBorders/>
            <w:vAlign w:val="center"/>
          </w:tcPr>
          <w:p>
            <w:pPr>
              <w:pStyle w:val="TableContents"/>
              <w:bidi w:val="0"/>
              <w:spacing w:before="0" w:after="283"/>
              <w:jc w:val="left"/>
              <w:rPr/>
            </w:pPr>
            <w:r>
              <w:rPr/>
              <w:t>1</w:t>
            </w:r>
          </w:p>
        </w:tc>
        <w:tc>
          <w:tcPr>
            <w:tcW w:w="816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Knight Therapeutics Inc.</w:t>
            </w:r>
          </w:p>
        </w:tc>
      </w:tr>
      <w:tr>
        <w:trPr/>
        <w:tc>
          <w:tcPr>
            <w:tcW w:w="2042" w:type="dxa"/>
            <w:tcBorders/>
            <w:vAlign w:val="center"/>
          </w:tcPr>
          <w:p>
            <w:pPr>
              <w:pStyle w:val="TableContents"/>
              <w:bidi w:val="0"/>
              <w:spacing w:before="0" w:after="283"/>
              <w:jc w:val="left"/>
              <w:rPr/>
            </w:pPr>
            <w:r>
              <w:rPr/>
              <w:t>2</w:t>
            </w:r>
          </w:p>
        </w:tc>
        <w:tc>
          <w:tcPr>
            <w:tcW w:w="816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42" w:type="dxa"/>
            <w:tcBorders/>
            <w:vAlign w:val="center"/>
          </w:tcPr>
          <w:p>
            <w:pPr>
              <w:pStyle w:val="TableContents"/>
              <w:bidi w:val="0"/>
              <w:spacing w:before="0" w:after="283"/>
              <w:jc w:val="left"/>
              <w:rPr/>
            </w:pPr>
            <w:r>
              <w:rPr/>
              <w:t>3</w:t>
            </w:r>
          </w:p>
        </w:tc>
        <w:tc>
          <w:tcPr>
            <w:tcW w:w="8163" w:type="dxa"/>
            <w:tcBorders/>
            <w:vAlign w:val="center"/>
          </w:tcPr>
          <w:p>
            <w:pPr>
              <w:pStyle w:val="TableContents"/>
              <w:bidi w:val="0"/>
              <w:spacing w:before="0" w:after="283"/>
              <w:jc w:val="left"/>
              <w:rPr/>
            </w:pPr>
            <w:r>
              <w:rPr/>
              <w:t>Sec Use Only</w:t>
            </w:r>
          </w:p>
        </w:tc>
      </w:tr>
      <w:tr>
        <w:trPr/>
        <w:tc>
          <w:tcPr>
            <w:tcW w:w="2042" w:type="dxa"/>
            <w:tcBorders/>
            <w:vAlign w:val="center"/>
          </w:tcPr>
          <w:p>
            <w:pPr>
              <w:pStyle w:val="TableContents"/>
              <w:bidi w:val="0"/>
              <w:spacing w:before="0" w:after="283"/>
              <w:jc w:val="left"/>
              <w:rPr/>
            </w:pPr>
            <w:r>
              <w:rPr/>
              <w:t>4</w:t>
            </w:r>
          </w:p>
        </w:tc>
        <w:tc>
          <w:tcPr>
            <w:tcW w:w="816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CANADA (FEDERAL LEVEL) </w:t>
            </w:r>
          </w:p>
        </w:tc>
      </w:tr>
      <w:tr>
        <w:trPr/>
        <w:tc>
          <w:tcPr>
            <w:tcW w:w="204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658,629.00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658,629.00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63" w:type="dxa"/>
            <w:tcBorders/>
            <w:vAlign w:val="center"/>
          </w:tcPr>
          <w:p>
            <w:pPr>
              <w:pStyle w:val="TableContents"/>
              <w:bidi w:val="0"/>
              <w:spacing w:before="0" w:after="283"/>
              <w:jc w:val="left"/>
              <w:rPr>
                <w:sz w:val="4"/>
                <w:szCs w:val="4"/>
              </w:rPr>
            </w:pPr>
            <w:r>
              <w:rPr>
                <w:sz w:val="4"/>
                <w:szCs w:val="4"/>
              </w:rPr>
            </w:r>
          </w:p>
        </w:tc>
      </w:tr>
      <w:tr>
        <w:trPr/>
        <w:tc>
          <w:tcPr>
            <w:tcW w:w="2042" w:type="dxa"/>
            <w:tcBorders/>
            <w:vAlign w:val="center"/>
          </w:tcPr>
          <w:p>
            <w:pPr>
              <w:pStyle w:val="TableContents"/>
              <w:bidi w:val="0"/>
              <w:spacing w:before="0" w:after="283"/>
              <w:jc w:val="left"/>
              <w:rPr/>
            </w:pPr>
            <w:r>
              <w:rPr/>
              <w:t>9</w:t>
            </w:r>
          </w:p>
        </w:tc>
        <w:tc>
          <w:tcPr>
            <w:tcW w:w="816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658,629.00</w:t>
            </w:r>
          </w:p>
        </w:tc>
      </w:tr>
      <w:tr>
        <w:trPr/>
        <w:tc>
          <w:tcPr>
            <w:tcW w:w="2042" w:type="dxa"/>
            <w:tcBorders/>
            <w:vAlign w:val="center"/>
          </w:tcPr>
          <w:p>
            <w:pPr>
              <w:pStyle w:val="TableContents"/>
              <w:bidi w:val="0"/>
              <w:spacing w:before="0" w:after="283"/>
              <w:jc w:val="left"/>
              <w:rPr/>
            </w:pPr>
            <w:r>
              <w:rPr/>
              <w:t>10</w:t>
            </w:r>
          </w:p>
        </w:tc>
        <w:tc>
          <w:tcPr>
            <w:tcW w:w="816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42" w:type="dxa"/>
            <w:tcBorders/>
            <w:vAlign w:val="center"/>
          </w:tcPr>
          <w:p>
            <w:pPr>
              <w:pStyle w:val="TableContents"/>
              <w:bidi w:val="0"/>
              <w:spacing w:before="0" w:after="283"/>
              <w:jc w:val="left"/>
              <w:rPr/>
            </w:pPr>
            <w:r>
              <w:rPr/>
              <w:t>11</w:t>
            </w:r>
          </w:p>
        </w:tc>
        <w:tc>
          <w:tcPr>
            <w:tcW w:w="816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19.85 % </w:t>
            </w:r>
          </w:p>
        </w:tc>
      </w:tr>
      <w:tr>
        <w:trPr/>
        <w:tc>
          <w:tcPr>
            <w:tcW w:w="2042" w:type="dxa"/>
            <w:tcBorders/>
            <w:vAlign w:val="center"/>
          </w:tcPr>
          <w:p>
            <w:pPr>
              <w:pStyle w:val="TableContents"/>
              <w:bidi w:val="0"/>
              <w:spacing w:before="0" w:after="283"/>
              <w:jc w:val="left"/>
              <w:rPr/>
            </w:pPr>
            <w:r>
              <w:rPr/>
              <w:t>12</w:t>
            </w:r>
          </w:p>
        </w:tc>
        <w:tc>
          <w:tcPr>
            <w:tcW w:w="816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(1) Based on 2,659,288 shares of common stock, par value $0.0001 per share, of 60 Degrees Pharmaceuticals, Inc. (the "Issuer") that are issued and outstanding as of May 15, 2026, as reported by the Issuer in its quarterly report on Form 10-Q filed with the U.S. Securities and Exchange Commission on May 15,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030"/>
        <w:gridCol w:w="9020"/>
        <w:gridCol w:w="155"/>
      </w:tblGrid>
      <w:tr>
        <w:trPr/>
        <w:tc>
          <w:tcPr>
            <w:tcW w:w="1030" w:type="dxa"/>
            <w:tcBorders/>
            <w:vAlign w:val="center"/>
          </w:tcPr>
          <w:p>
            <w:pPr>
              <w:pStyle w:val="TableContents"/>
              <w:bidi w:val="0"/>
              <w:spacing w:before="0" w:after="283"/>
              <w:jc w:val="left"/>
              <w:rPr/>
            </w:pPr>
            <w:r>
              <w:rPr/>
              <w:t>Item 1.</w:t>
            </w:r>
          </w:p>
        </w:tc>
        <w:tc>
          <w:tcPr>
            <w:tcW w:w="902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30" w:type="dxa"/>
            <w:tcBorders/>
            <w:vAlign w:val="center"/>
          </w:tcPr>
          <w:p>
            <w:pPr>
              <w:pStyle w:val="TableContents"/>
              <w:bidi w:val="0"/>
              <w:spacing w:before="0" w:after="283"/>
              <w:jc w:val="left"/>
              <w:rPr/>
            </w:pPr>
            <w:r>
              <w:rPr/>
              <w:t>(a)</w:t>
            </w:r>
          </w:p>
        </w:tc>
        <w:tc>
          <w:tcPr>
            <w:tcW w:w="9020" w:type="dxa"/>
            <w:tcBorders/>
            <w:vAlign w:val="center"/>
          </w:tcPr>
          <w:p>
            <w:pPr>
              <w:pStyle w:val="TableContents"/>
              <w:bidi w:val="0"/>
              <w:jc w:val="left"/>
              <w:rPr/>
            </w:pPr>
            <w:r>
              <w:rPr/>
              <w:t xml:space="preserve">Name of issuer: </w:t>
            </w:r>
          </w:p>
          <w:p>
            <w:pPr>
              <w:pStyle w:val="TableContents"/>
              <w:bidi w:val="0"/>
              <w:spacing w:before="0" w:after="0"/>
              <w:jc w:val="left"/>
              <w:rPr/>
            </w:pPr>
            <w:r>
              <w:rPr/>
              <w:t>60 DEGREES PHARMACEUTICALS, INC.</w:t>
            </w:r>
          </w:p>
        </w:tc>
        <w:tc>
          <w:tcPr>
            <w:tcW w:w="155" w:type="dxa"/>
            <w:tcBorders/>
          </w:tcPr>
          <w:p>
            <w:pPr>
              <w:pStyle w:val="TableContents"/>
              <w:bidi w:val="0"/>
              <w:spacing w:before="0" w:after="283"/>
              <w:jc w:val="left"/>
              <w:rPr>
                <w:sz w:val="4"/>
                <w:szCs w:val="4"/>
              </w:rPr>
            </w:pPr>
            <w:r>
              <w:rPr>
                <w:sz w:val="4"/>
                <w:szCs w:val="4"/>
              </w:rPr>
            </w:r>
          </w:p>
        </w:tc>
      </w:tr>
      <w:tr>
        <w:trPr/>
        <w:tc>
          <w:tcPr>
            <w:tcW w:w="1030" w:type="dxa"/>
            <w:tcBorders/>
            <w:vAlign w:val="center"/>
          </w:tcPr>
          <w:p>
            <w:pPr>
              <w:pStyle w:val="TableContents"/>
              <w:bidi w:val="0"/>
              <w:spacing w:before="0" w:after="283"/>
              <w:jc w:val="left"/>
              <w:rPr/>
            </w:pPr>
            <w:r>
              <w:rPr/>
              <w:t>(b)</w:t>
            </w:r>
          </w:p>
        </w:tc>
        <w:tc>
          <w:tcPr>
            <w:tcW w:w="9020"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1025 Connecticut Avenue, NW Suite 1000, Washington D.C. 20036</w:t>
            </w:r>
          </w:p>
        </w:tc>
        <w:tc>
          <w:tcPr>
            <w:tcW w:w="155" w:type="dxa"/>
            <w:tcBorders/>
          </w:tcPr>
          <w:p>
            <w:pPr>
              <w:pStyle w:val="TableContents"/>
              <w:bidi w:val="0"/>
              <w:spacing w:before="0" w:after="283"/>
              <w:jc w:val="left"/>
              <w:rPr>
                <w:sz w:val="4"/>
                <w:szCs w:val="4"/>
              </w:rPr>
            </w:pPr>
            <w:r>
              <w:rPr>
                <w:sz w:val="4"/>
                <w:szCs w:val="4"/>
              </w:rPr>
            </w:r>
          </w:p>
        </w:tc>
      </w:tr>
      <w:tr>
        <w:trPr/>
        <w:tc>
          <w:tcPr>
            <w:tcW w:w="1030" w:type="dxa"/>
            <w:tcBorders/>
            <w:vAlign w:val="center"/>
          </w:tcPr>
          <w:p>
            <w:pPr>
              <w:pStyle w:val="TableContents"/>
              <w:bidi w:val="0"/>
              <w:spacing w:before="0" w:after="283"/>
              <w:jc w:val="left"/>
              <w:rPr/>
            </w:pPr>
            <w:r>
              <w:rPr/>
              <w:t>Item 2.</w:t>
            </w:r>
          </w:p>
        </w:tc>
        <w:tc>
          <w:tcPr>
            <w:tcW w:w="902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30" w:type="dxa"/>
            <w:tcBorders/>
            <w:vAlign w:val="center"/>
          </w:tcPr>
          <w:p>
            <w:pPr>
              <w:pStyle w:val="TableContents"/>
              <w:bidi w:val="0"/>
              <w:spacing w:before="0" w:after="283"/>
              <w:jc w:val="left"/>
              <w:rPr/>
            </w:pPr>
            <w:r>
              <w:rPr/>
              <w:t>(a)</w:t>
            </w:r>
          </w:p>
        </w:tc>
        <w:tc>
          <w:tcPr>
            <w:tcW w:w="9020" w:type="dxa"/>
            <w:tcBorders/>
            <w:vAlign w:val="center"/>
          </w:tcPr>
          <w:p>
            <w:pPr>
              <w:pStyle w:val="TableContents"/>
              <w:bidi w:val="0"/>
              <w:jc w:val="left"/>
              <w:rPr/>
            </w:pPr>
            <w:r>
              <w:rPr/>
              <w:t xml:space="preserve">Name of person filing: </w:t>
            </w:r>
          </w:p>
          <w:p>
            <w:pPr>
              <w:pStyle w:val="TableContents"/>
              <w:bidi w:val="0"/>
              <w:spacing w:before="0" w:after="0"/>
              <w:jc w:val="left"/>
              <w:rPr/>
            </w:pPr>
            <w:r>
              <w:rPr/>
              <w:t>Knight Therapeutics Inc.</w:t>
            </w:r>
          </w:p>
        </w:tc>
        <w:tc>
          <w:tcPr>
            <w:tcW w:w="155" w:type="dxa"/>
            <w:tcBorders/>
          </w:tcPr>
          <w:p>
            <w:pPr>
              <w:pStyle w:val="TableContents"/>
              <w:bidi w:val="0"/>
              <w:spacing w:before="0" w:after="283"/>
              <w:jc w:val="left"/>
              <w:rPr>
                <w:sz w:val="4"/>
                <w:szCs w:val="4"/>
              </w:rPr>
            </w:pPr>
            <w:r>
              <w:rPr>
                <w:sz w:val="4"/>
                <w:szCs w:val="4"/>
              </w:rPr>
            </w:r>
          </w:p>
        </w:tc>
      </w:tr>
      <w:tr>
        <w:trPr/>
        <w:tc>
          <w:tcPr>
            <w:tcW w:w="1030" w:type="dxa"/>
            <w:tcBorders/>
            <w:vAlign w:val="center"/>
          </w:tcPr>
          <w:p>
            <w:pPr>
              <w:pStyle w:val="TableContents"/>
              <w:bidi w:val="0"/>
              <w:spacing w:before="0" w:after="283"/>
              <w:jc w:val="left"/>
              <w:rPr/>
            </w:pPr>
            <w:r>
              <w:rPr/>
              <w:t>(b)</w:t>
            </w:r>
          </w:p>
        </w:tc>
        <w:tc>
          <w:tcPr>
            <w:tcW w:w="9020"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600 - 100 boul. Alexis Nihon Montreal, QC, H4M 2P2</w:t>
            </w:r>
          </w:p>
        </w:tc>
        <w:tc>
          <w:tcPr>
            <w:tcW w:w="155" w:type="dxa"/>
            <w:tcBorders/>
          </w:tcPr>
          <w:p>
            <w:pPr>
              <w:pStyle w:val="TableContents"/>
              <w:bidi w:val="0"/>
              <w:spacing w:before="0" w:after="283"/>
              <w:jc w:val="left"/>
              <w:rPr>
                <w:sz w:val="4"/>
                <w:szCs w:val="4"/>
              </w:rPr>
            </w:pPr>
            <w:r>
              <w:rPr>
                <w:sz w:val="4"/>
                <w:szCs w:val="4"/>
              </w:rPr>
            </w:r>
          </w:p>
        </w:tc>
      </w:tr>
      <w:tr>
        <w:trPr/>
        <w:tc>
          <w:tcPr>
            <w:tcW w:w="1030" w:type="dxa"/>
            <w:tcBorders/>
            <w:vAlign w:val="center"/>
          </w:tcPr>
          <w:p>
            <w:pPr>
              <w:pStyle w:val="TableContents"/>
              <w:bidi w:val="0"/>
              <w:spacing w:before="0" w:after="283"/>
              <w:jc w:val="left"/>
              <w:rPr/>
            </w:pPr>
            <w:r>
              <w:rPr/>
              <w:t>(c)</w:t>
            </w:r>
          </w:p>
        </w:tc>
        <w:tc>
          <w:tcPr>
            <w:tcW w:w="9020" w:type="dxa"/>
            <w:tcBorders/>
            <w:vAlign w:val="center"/>
          </w:tcPr>
          <w:p>
            <w:pPr>
              <w:pStyle w:val="TableContents"/>
              <w:bidi w:val="0"/>
              <w:jc w:val="left"/>
              <w:rPr/>
            </w:pPr>
            <w:r>
              <w:rPr/>
              <w:t xml:space="preserve">Citizenship: </w:t>
            </w:r>
          </w:p>
          <w:p>
            <w:pPr>
              <w:pStyle w:val="TableContents"/>
              <w:bidi w:val="0"/>
              <w:spacing w:before="0" w:after="0"/>
              <w:jc w:val="left"/>
              <w:rPr/>
            </w:pPr>
            <w:r>
              <w:rPr/>
              <w:t>Canada</w:t>
            </w:r>
          </w:p>
        </w:tc>
        <w:tc>
          <w:tcPr>
            <w:tcW w:w="155" w:type="dxa"/>
            <w:tcBorders/>
          </w:tcPr>
          <w:p>
            <w:pPr>
              <w:pStyle w:val="TableContents"/>
              <w:bidi w:val="0"/>
              <w:spacing w:before="0" w:after="283"/>
              <w:jc w:val="left"/>
              <w:rPr>
                <w:sz w:val="4"/>
                <w:szCs w:val="4"/>
              </w:rPr>
            </w:pPr>
            <w:r>
              <w:rPr>
                <w:sz w:val="4"/>
                <w:szCs w:val="4"/>
              </w:rPr>
            </w:r>
          </w:p>
        </w:tc>
      </w:tr>
      <w:tr>
        <w:trPr/>
        <w:tc>
          <w:tcPr>
            <w:tcW w:w="1030" w:type="dxa"/>
            <w:tcBorders/>
            <w:vAlign w:val="center"/>
          </w:tcPr>
          <w:p>
            <w:pPr>
              <w:pStyle w:val="TableContents"/>
              <w:bidi w:val="0"/>
              <w:spacing w:before="0" w:after="283"/>
              <w:jc w:val="left"/>
              <w:rPr/>
            </w:pPr>
            <w:r>
              <w:rPr/>
              <w:t>(d)</w:t>
            </w:r>
          </w:p>
        </w:tc>
        <w:tc>
          <w:tcPr>
            <w:tcW w:w="9020"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$0.0001 per share</w:t>
            </w:r>
          </w:p>
        </w:tc>
        <w:tc>
          <w:tcPr>
            <w:tcW w:w="155" w:type="dxa"/>
            <w:tcBorders/>
          </w:tcPr>
          <w:p>
            <w:pPr>
              <w:pStyle w:val="TableContents"/>
              <w:bidi w:val="0"/>
              <w:spacing w:before="0" w:after="283"/>
              <w:jc w:val="left"/>
              <w:rPr>
                <w:sz w:val="4"/>
                <w:szCs w:val="4"/>
              </w:rPr>
            </w:pPr>
            <w:r>
              <w:rPr>
                <w:sz w:val="4"/>
                <w:szCs w:val="4"/>
              </w:rPr>
            </w:r>
          </w:p>
        </w:tc>
      </w:tr>
      <w:tr>
        <w:trPr/>
        <w:tc>
          <w:tcPr>
            <w:tcW w:w="1030" w:type="dxa"/>
            <w:tcBorders/>
            <w:vAlign w:val="center"/>
          </w:tcPr>
          <w:p>
            <w:pPr>
              <w:pStyle w:val="TableContents"/>
              <w:bidi w:val="0"/>
              <w:spacing w:before="0" w:after="283"/>
              <w:jc w:val="left"/>
              <w:rPr/>
            </w:pPr>
            <w:r>
              <w:rPr/>
              <w:t>(e)</w:t>
            </w:r>
          </w:p>
        </w:tc>
        <w:tc>
          <w:tcPr>
            <w:tcW w:w="9020"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30" w:type="dxa"/>
            <w:tcBorders/>
            <w:vAlign w:val="center"/>
          </w:tcPr>
          <w:p>
            <w:pPr>
              <w:pStyle w:val="TableContents"/>
              <w:bidi w:val="0"/>
              <w:spacing w:before="0" w:after="283"/>
              <w:jc w:val="left"/>
              <w:rPr/>
            </w:pPr>
            <w:r>
              <w:rPr/>
              <w:t>Item 3.</w:t>
            </w:r>
          </w:p>
        </w:tc>
        <w:tc>
          <w:tcPr>
            <w:tcW w:w="9020"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30" w:type="dxa"/>
            <w:tcBorders/>
            <w:vAlign w:val="center"/>
          </w:tcPr>
          <w:p>
            <w:pPr>
              <w:pStyle w:val="TableContents"/>
              <w:bidi w:val="0"/>
              <w:spacing w:before="0" w:after="283"/>
              <w:jc w:val="left"/>
              <w:rPr/>
            </w:pPr>
            <w:r>
              <w:rPr/>
              <w:t>(a)</w:t>
            </w:r>
          </w:p>
        </w:tc>
        <w:tc>
          <w:tcPr>
            <w:tcW w:w="9020"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30" w:type="dxa"/>
            <w:tcBorders/>
            <w:vAlign w:val="center"/>
          </w:tcPr>
          <w:p>
            <w:pPr>
              <w:pStyle w:val="TableContents"/>
              <w:bidi w:val="0"/>
              <w:spacing w:before="0" w:after="283"/>
              <w:jc w:val="left"/>
              <w:rPr/>
            </w:pPr>
            <w:r>
              <w:rPr/>
              <w:t>(b)</w:t>
            </w:r>
          </w:p>
        </w:tc>
        <w:tc>
          <w:tcPr>
            <w:tcW w:w="9020"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30" w:type="dxa"/>
            <w:tcBorders/>
            <w:vAlign w:val="center"/>
          </w:tcPr>
          <w:p>
            <w:pPr>
              <w:pStyle w:val="TableContents"/>
              <w:bidi w:val="0"/>
              <w:spacing w:before="0" w:after="283"/>
              <w:jc w:val="left"/>
              <w:rPr/>
            </w:pPr>
            <w:r>
              <w:rPr/>
              <w:t>(c)</w:t>
            </w:r>
          </w:p>
        </w:tc>
        <w:tc>
          <w:tcPr>
            <w:tcW w:w="9020"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30" w:type="dxa"/>
            <w:tcBorders/>
            <w:vAlign w:val="center"/>
          </w:tcPr>
          <w:p>
            <w:pPr>
              <w:pStyle w:val="TableContents"/>
              <w:bidi w:val="0"/>
              <w:spacing w:before="0" w:after="283"/>
              <w:jc w:val="left"/>
              <w:rPr/>
            </w:pPr>
            <w:r>
              <w:rPr/>
              <w:t>(d)</w:t>
            </w:r>
          </w:p>
        </w:tc>
        <w:tc>
          <w:tcPr>
            <w:tcW w:w="9020"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30" w:type="dxa"/>
            <w:tcBorders/>
            <w:vAlign w:val="center"/>
          </w:tcPr>
          <w:p>
            <w:pPr>
              <w:pStyle w:val="TableContents"/>
              <w:bidi w:val="0"/>
              <w:spacing w:before="0" w:after="283"/>
              <w:jc w:val="left"/>
              <w:rPr/>
            </w:pPr>
            <w:r>
              <w:rPr/>
              <w:t>(e)</w:t>
            </w:r>
          </w:p>
        </w:tc>
        <w:tc>
          <w:tcPr>
            <w:tcW w:w="9020"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30" w:type="dxa"/>
            <w:tcBorders/>
            <w:vAlign w:val="center"/>
          </w:tcPr>
          <w:p>
            <w:pPr>
              <w:pStyle w:val="TableContents"/>
              <w:bidi w:val="0"/>
              <w:spacing w:before="0" w:after="283"/>
              <w:jc w:val="left"/>
              <w:rPr/>
            </w:pPr>
            <w:r>
              <w:rPr/>
              <w:t>(f)</w:t>
            </w:r>
          </w:p>
        </w:tc>
        <w:tc>
          <w:tcPr>
            <w:tcW w:w="9020"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30" w:type="dxa"/>
            <w:tcBorders/>
            <w:vAlign w:val="center"/>
          </w:tcPr>
          <w:p>
            <w:pPr>
              <w:pStyle w:val="TableContents"/>
              <w:bidi w:val="0"/>
              <w:spacing w:before="0" w:after="283"/>
              <w:jc w:val="left"/>
              <w:rPr/>
            </w:pPr>
            <w:r>
              <w:rPr/>
              <w:t>(g)</w:t>
            </w:r>
          </w:p>
        </w:tc>
        <w:tc>
          <w:tcPr>
            <w:tcW w:w="9020"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30" w:type="dxa"/>
            <w:tcBorders/>
            <w:vAlign w:val="center"/>
          </w:tcPr>
          <w:p>
            <w:pPr>
              <w:pStyle w:val="TableContents"/>
              <w:bidi w:val="0"/>
              <w:spacing w:before="0" w:after="283"/>
              <w:jc w:val="left"/>
              <w:rPr/>
            </w:pPr>
            <w:r>
              <w:rPr/>
              <w:t>(h)</w:t>
            </w:r>
          </w:p>
        </w:tc>
        <w:tc>
          <w:tcPr>
            <w:tcW w:w="9020"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30" w:type="dxa"/>
            <w:tcBorders/>
            <w:vAlign w:val="center"/>
          </w:tcPr>
          <w:p>
            <w:pPr>
              <w:pStyle w:val="TableContents"/>
              <w:bidi w:val="0"/>
              <w:spacing w:before="0" w:after="283"/>
              <w:jc w:val="left"/>
              <w:rPr/>
            </w:pPr>
            <w:r>
              <w:rPr/>
              <w:t>(i)</w:t>
            </w:r>
          </w:p>
        </w:tc>
        <w:tc>
          <w:tcPr>
            <w:tcW w:w="9020"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30" w:type="dxa"/>
            <w:tcBorders/>
            <w:vAlign w:val="center"/>
          </w:tcPr>
          <w:p>
            <w:pPr>
              <w:pStyle w:val="TableContents"/>
              <w:bidi w:val="0"/>
              <w:spacing w:before="0" w:after="283"/>
              <w:jc w:val="left"/>
              <w:rPr/>
            </w:pPr>
            <w:r>
              <w:rPr/>
              <w:t>(j)</w:t>
            </w:r>
          </w:p>
        </w:tc>
        <w:tc>
          <w:tcPr>
            <w:tcW w:w="9020"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30" w:type="dxa"/>
            <w:tcBorders/>
            <w:vAlign w:val="center"/>
          </w:tcPr>
          <w:p>
            <w:pPr>
              <w:pStyle w:val="TableContents"/>
              <w:bidi w:val="0"/>
              <w:spacing w:before="0" w:after="283"/>
              <w:jc w:val="left"/>
              <w:rPr/>
            </w:pPr>
            <w:r>
              <w:rPr/>
              <w:t>(k)</w:t>
            </w:r>
          </w:p>
        </w:tc>
        <w:tc>
          <w:tcPr>
            <w:tcW w:w="9020"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30" w:type="dxa"/>
            <w:tcBorders/>
            <w:vAlign w:val="center"/>
          </w:tcPr>
          <w:p>
            <w:pPr>
              <w:pStyle w:val="TableContents"/>
              <w:bidi w:val="0"/>
              <w:spacing w:before="0" w:after="283"/>
              <w:jc w:val="left"/>
              <w:rPr/>
            </w:pPr>
            <w:r>
              <w:rPr/>
              <w:t> </w:t>
            </w:r>
          </w:p>
        </w:tc>
        <w:tc>
          <w:tcPr>
            <w:tcW w:w="9175" w:type="dxa"/>
            <w:gridSpan w:val="2"/>
            <w:tcBorders/>
            <w:vAlign w:val="center"/>
          </w:tcPr>
          <w:p>
            <w:pPr>
              <w:pStyle w:val="TableContents"/>
              <w:bidi w:val="0"/>
              <w:spacing w:before="0" w:after="283"/>
              <w:jc w:val="left"/>
              <w:rPr>
                <w:sz w:val="4"/>
                <w:szCs w:val="4"/>
              </w:rPr>
            </w:pPr>
            <w:r>
              <w:rPr>
                <w:sz w:val="4"/>
                <w:szCs w:val="4"/>
              </w:rPr>
            </w:r>
          </w:p>
        </w:tc>
      </w:tr>
      <w:tr>
        <w:trPr/>
        <w:tc>
          <w:tcPr>
            <w:tcW w:w="1030" w:type="dxa"/>
            <w:tcBorders/>
            <w:vAlign w:val="center"/>
          </w:tcPr>
          <w:p>
            <w:pPr>
              <w:pStyle w:val="TableContents"/>
              <w:bidi w:val="0"/>
              <w:spacing w:before="0" w:after="283"/>
              <w:jc w:val="left"/>
              <w:rPr/>
            </w:pPr>
            <w:r>
              <w:rPr/>
              <w:t>Item 4.</w:t>
            </w:r>
          </w:p>
        </w:tc>
        <w:tc>
          <w:tcPr>
            <w:tcW w:w="9020"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30" w:type="dxa"/>
            <w:tcBorders/>
            <w:vAlign w:val="center"/>
          </w:tcPr>
          <w:p>
            <w:pPr>
              <w:pStyle w:val="TableContents"/>
              <w:bidi w:val="0"/>
              <w:spacing w:before="0" w:after="283"/>
              <w:jc w:val="left"/>
              <w:rPr/>
            </w:pPr>
            <w:r>
              <w:rPr/>
              <w:t>(a)</w:t>
            </w:r>
          </w:p>
        </w:tc>
        <w:tc>
          <w:tcPr>
            <w:tcW w:w="9020"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As of July 22, 2026, the Reporting Person beneficially owns 658,629 shares of common stock, par value $0.0001 per share, of the Issuer.</w:t>
            </w:r>
          </w:p>
        </w:tc>
        <w:tc>
          <w:tcPr>
            <w:tcW w:w="155" w:type="dxa"/>
            <w:tcBorders/>
          </w:tcPr>
          <w:p>
            <w:pPr>
              <w:pStyle w:val="TableContents"/>
              <w:bidi w:val="0"/>
              <w:spacing w:before="0" w:after="283"/>
              <w:jc w:val="left"/>
              <w:rPr>
                <w:sz w:val="4"/>
                <w:szCs w:val="4"/>
              </w:rPr>
            </w:pPr>
            <w:r>
              <w:rPr>
                <w:sz w:val="4"/>
                <w:szCs w:val="4"/>
              </w:rPr>
            </w:r>
          </w:p>
        </w:tc>
      </w:tr>
      <w:tr>
        <w:trPr/>
        <w:tc>
          <w:tcPr>
            <w:tcW w:w="1030" w:type="dxa"/>
            <w:tcBorders/>
            <w:vAlign w:val="center"/>
          </w:tcPr>
          <w:p>
            <w:pPr>
              <w:pStyle w:val="TableContents"/>
              <w:bidi w:val="0"/>
              <w:spacing w:before="0" w:after="283"/>
              <w:jc w:val="left"/>
              <w:rPr/>
            </w:pPr>
            <w:r>
              <w:rPr/>
              <w:t>(b)</w:t>
            </w:r>
          </w:p>
        </w:tc>
        <w:tc>
          <w:tcPr>
            <w:tcW w:w="9020"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19.85%. The above percentage is calculated based on 2,659,288 shares of common stock, par value $0.0001 per share, of the Issuer that are issued and outstanding as of May 15, 2026, as reported by the Issuer in its quarterly report on Form 10-Q filed with the U.S. Securities and Exchange Commission on May 15, 2026.  % </w:t>
            </w:r>
          </w:p>
        </w:tc>
        <w:tc>
          <w:tcPr>
            <w:tcW w:w="155" w:type="dxa"/>
            <w:tcBorders/>
          </w:tcPr>
          <w:p>
            <w:pPr>
              <w:pStyle w:val="TableContents"/>
              <w:bidi w:val="0"/>
              <w:spacing w:before="0" w:after="283"/>
              <w:jc w:val="left"/>
              <w:rPr>
                <w:sz w:val="4"/>
                <w:szCs w:val="4"/>
              </w:rPr>
            </w:pPr>
            <w:r>
              <w:rPr>
                <w:sz w:val="4"/>
                <w:szCs w:val="4"/>
              </w:rPr>
            </w:r>
          </w:p>
        </w:tc>
      </w:tr>
      <w:tr>
        <w:trPr/>
        <w:tc>
          <w:tcPr>
            <w:tcW w:w="1030" w:type="dxa"/>
            <w:tcBorders/>
            <w:vAlign w:val="center"/>
          </w:tcPr>
          <w:p>
            <w:pPr>
              <w:pStyle w:val="TableContents"/>
              <w:bidi w:val="0"/>
              <w:spacing w:before="0" w:after="283"/>
              <w:jc w:val="left"/>
              <w:rPr/>
            </w:pPr>
            <w:r>
              <w:rPr/>
              <w:t>(c)</w:t>
            </w:r>
          </w:p>
        </w:tc>
        <w:tc>
          <w:tcPr>
            <w:tcW w:w="9020"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30" w:type="dxa"/>
            <w:tcBorders/>
            <w:vAlign w:val="center"/>
          </w:tcPr>
          <w:p>
            <w:pPr>
              <w:pStyle w:val="TableContents"/>
              <w:bidi w:val="0"/>
              <w:spacing w:before="0" w:after="283"/>
              <w:jc w:val="left"/>
              <w:rPr/>
            </w:pPr>
            <w:r>
              <w:rPr/>
              <w:t> </w:t>
            </w:r>
          </w:p>
        </w:tc>
        <w:tc>
          <w:tcPr>
            <w:tcW w:w="9020"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658,629 shares of common stock of the Issuer</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30" w:type="dxa"/>
            <w:tcBorders/>
            <w:vAlign w:val="center"/>
          </w:tcPr>
          <w:p>
            <w:pPr>
              <w:pStyle w:val="TableContents"/>
              <w:bidi w:val="0"/>
              <w:spacing w:before="0" w:after="283"/>
              <w:jc w:val="left"/>
              <w:rPr/>
            </w:pPr>
            <w:r>
              <w:rPr/>
              <w:t> </w:t>
            </w:r>
          </w:p>
        </w:tc>
        <w:tc>
          <w:tcPr>
            <w:tcW w:w="9020"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30" w:type="dxa"/>
            <w:tcBorders/>
            <w:vAlign w:val="center"/>
          </w:tcPr>
          <w:p>
            <w:pPr>
              <w:pStyle w:val="TableContents"/>
              <w:bidi w:val="0"/>
              <w:spacing w:before="0" w:after="283"/>
              <w:jc w:val="left"/>
              <w:rPr/>
            </w:pPr>
            <w:r>
              <w:rPr/>
              <w:t> </w:t>
            </w:r>
          </w:p>
        </w:tc>
        <w:tc>
          <w:tcPr>
            <w:tcW w:w="9020"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658,629 shares of common stock of the Issuer</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30" w:type="dxa"/>
            <w:tcBorders/>
            <w:vAlign w:val="center"/>
          </w:tcPr>
          <w:p>
            <w:pPr>
              <w:pStyle w:val="TableContents"/>
              <w:bidi w:val="0"/>
              <w:spacing w:before="0" w:after="283"/>
              <w:jc w:val="left"/>
              <w:rPr/>
            </w:pPr>
            <w:r>
              <w:rPr/>
              <w:t> </w:t>
            </w:r>
          </w:p>
        </w:tc>
        <w:tc>
          <w:tcPr>
            <w:tcW w:w="9020"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30" w:type="dxa"/>
            <w:tcBorders/>
            <w:vAlign w:val="center"/>
          </w:tcPr>
          <w:p>
            <w:pPr>
              <w:pStyle w:val="TableContents"/>
              <w:bidi w:val="0"/>
              <w:spacing w:before="0" w:after="283"/>
              <w:jc w:val="left"/>
              <w:rPr/>
            </w:pPr>
            <w:r>
              <w:rPr/>
              <w:t>Item 5.</w:t>
            </w:r>
          </w:p>
        </w:tc>
        <w:tc>
          <w:tcPr>
            <w:tcW w:w="9020"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30" w:type="dxa"/>
            <w:tcBorders/>
            <w:vAlign w:val="center"/>
          </w:tcPr>
          <w:p>
            <w:pPr>
              <w:pStyle w:val="TableContents"/>
              <w:bidi w:val="0"/>
              <w:spacing w:before="0" w:after="283"/>
              <w:jc w:val="left"/>
              <w:rPr/>
            </w:pPr>
            <w:r>
              <w:rPr/>
              <w:t> </w:t>
            </w:r>
          </w:p>
        </w:tc>
        <w:tc>
          <w:tcPr>
            <w:tcW w:w="9020"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30" w:type="dxa"/>
            <w:tcBorders/>
            <w:vAlign w:val="center"/>
          </w:tcPr>
          <w:p>
            <w:pPr>
              <w:pStyle w:val="TableContents"/>
              <w:bidi w:val="0"/>
              <w:spacing w:before="0" w:after="283"/>
              <w:jc w:val="left"/>
              <w:rPr/>
            </w:pPr>
            <w:r>
              <w:rPr/>
              <w:t>Item 6.</w:t>
            </w:r>
          </w:p>
        </w:tc>
        <w:tc>
          <w:tcPr>
            <w:tcW w:w="9020"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30" w:type="dxa"/>
            <w:tcBorders/>
            <w:vAlign w:val="center"/>
          </w:tcPr>
          <w:p>
            <w:pPr>
              <w:pStyle w:val="TableContents"/>
              <w:bidi w:val="0"/>
              <w:spacing w:before="0" w:after="283"/>
              <w:jc w:val="left"/>
              <w:rPr/>
            </w:pPr>
            <w:r>
              <w:rPr/>
              <w:t> </w:t>
            </w:r>
          </w:p>
        </w:tc>
        <w:tc>
          <w:tcPr>
            <w:tcW w:w="902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30" w:type="dxa"/>
            <w:tcBorders/>
            <w:vAlign w:val="center"/>
          </w:tcPr>
          <w:p>
            <w:pPr>
              <w:pStyle w:val="TableContents"/>
              <w:bidi w:val="0"/>
              <w:spacing w:before="0" w:after="283"/>
              <w:jc w:val="left"/>
              <w:rPr/>
            </w:pPr>
            <w:r>
              <w:rPr/>
              <w:t>Item 7.</w:t>
            </w:r>
          </w:p>
        </w:tc>
        <w:tc>
          <w:tcPr>
            <w:tcW w:w="9020"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30" w:type="dxa"/>
            <w:tcBorders/>
            <w:vAlign w:val="center"/>
          </w:tcPr>
          <w:p>
            <w:pPr>
              <w:pStyle w:val="TableContents"/>
              <w:bidi w:val="0"/>
              <w:spacing w:before="0" w:after="283"/>
              <w:jc w:val="left"/>
              <w:rPr/>
            </w:pPr>
            <w:r>
              <w:rPr/>
              <w:t> </w:t>
            </w:r>
          </w:p>
        </w:tc>
        <w:tc>
          <w:tcPr>
            <w:tcW w:w="902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30" w:type="dxa"/>
            <w:tcBorders/>
            <w:vAlign w:val="center"/>
          </w:tcPr>
          <w:p>
            <w:pPr>
              <w:pStyle w:val="TableContents"/>
              <w:bidi w:val="0"/>
              <w:spacing w:before="0" w:after="283"/>
              <w:jc w:val="left"/>
              <w:rPr/>
            </w:pPr>
            <w:r>
              <w:rPr/>
              <w:t>Item 8.</w:t>
            </w:r>
          </w:p>
        </w:tc>
        <w:tc>
          <w:tcPr>
            <w:tcW w:w="9020"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30" w:type="dxa"/>
            <w:tcBorders/>
            <w:vAlign w:val="center"/>
          </w:tcPr>
          <w:p>
            <w:pPr>
              <w:pStyle w:val="TableContents"/>
              <w:bidi w:val="0"/>
              <w:spacing w:before="0" w:after="283"/>
              <w:jc w:val="left"/>
              <w:rPr/>
            </w:pPr>
            <w:r>
              <w:rPr/>
              <w:t> </w:t>
            </w:r>
          </w:p>
        </w:tc>
        <w:tc>
          <w:tcPr>
            <w:tcW w:w="902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30" w:type="dxa"/>
            <w:tcBorders/>
            <w:vAlign w:val="center"/>
          </w:tcPr>
          <w:p>
            <w:pPr>
              <w:pStyle w:val="TableContents"/>
              <w:bidi w:val="0"/>
              <w:spacing w:before="0" w:after="283"/>
              <w:jc w:val="left"/>
              <w:rPr/>
            </w:pPr>
            <w:r>
              <w:rPr/>
              <w:t>Item 9.</w:t>
            </w:r>
          </w:p>
        </w:tc>
        <w:tc>
          <w:tcPr>
            <w:tcW w:w="9020"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30" w:type="dxa"/>
            <w:tcBorders/>
            <w:vAlign w:val="center"/>
          </w:tcPr>
          <w:p>
            <w:pPr>
              <w:pStyle w:val="TableContents"/>
              <w:bidi w:val="0"/>
              <w:spacing w:before="0" w:after="283"/>
              <w:jc w:val="left"/>
              <w:rPr/>
            </w:pPr>
            <w:r>
              <w:rPr/>
              <w:t> </w:t>
            </w:r>
          </w:p>
        </w:tc>
        <w:tc>
          <w:tcPr>
            <w:tcW w:w="902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338" w:type="dxa"/>
        <w:jc w:val="left"/>
        <w:tblInd w:w="0" w:type="dxa"/>
        <w:tblLayout w:type="fixed"/>
        <w:tblCellMar>
          <w:top w:w="28" w:type="dxa"/>
          <w:left w:w="28" w:type="dxa"/>
          <w:bottom w:w="28" w:type="dxa"/>
          <w:right w:w="28" w:type="dxa"/>
        </w:tblCellMar>
      </w:tblPr>
      <w:tblGrid>
        <w:gridCol w:w="2669"/>
        <w:gridCol w:w="2669"/>
      </w:tblGrid>
      <w:tr>
        <w:trPr/>
        <w:tc>
          <w:tcPr>
            <w:tcW w:w="2669" w:type="dxa"/>
            <w:tcBorders/>
            <w:vAlign w:val="center"/>
          </w:tcPr>
          <w:p>
            <w:pPr>
              <w:pStyle w:val="TableContents"/>
              <w:bidi w:val="0"/>
              <w:spacing w:before="0" w:after="0"/>
              <w:jc w:val="left"/>
              <w:rPr/>
            </w:pPr>
            <w:r>
              <w:rPr/>
              <w:t> </w:t>
            </w:r>
          </w:p>
          <w:tbl>
            <w:tblPr>
              <w:tblW w:w="2521" w:type="dxa"/>
              <w:jc w:val="left"/>
              <w:tblInd w:w="0" w:type="dxa"/>
              <w:tblLayout w:type="fixed"/>
              <w:tblCellMar>
                <w:top w:w="28" w:type="dxa"/>
                <w:left w:w="28" w:type="dxa"/>
                <w:bottom w:w="28" w:type="dxa"/>
                <w:right w:w="28" w:type="dxa"/>
              </w:tblCellMar>
            </w:tblPr>
            <w:tblGrid>
              <w:gridCol w:w="2521"/>
            </w:tblGrid>
            <w:tr>
              <w:trPr/>
              <w:tc>
                <w:tcPr>
                  <w:tcW w:w="2521" w:type="dxa"/>
                  <w:tcBorders/>
                  <w:vAlign w:val="center"/>
                </w:tcPr>
                <w:p>
                  <w:pPr>
                    <w:pStyle w:val="TableContents"/>
                    <w:bidi w:val="0"/>
                    <w:spacing w:before="0" w:after="0"/>
                    <w:jc w:val="left"/>
                    <w:rPr/>
                  </w:pPr>
                  <w:r>
                    <w:rPr/>
                    <w:t>Knight Therapeutics Inc.</w:t>
                  </w:r>
                </w:p>
              </w:tc>
            </w:tr>
          </w:tbl>
          <w:p>
            <w:pPr>
              <w:pStyle w:val="TableContents"/>
              <w:bidi w:val="0"/>
              <w:spacing w:before="0" w:after="283"/>
              <w:jc w:val="left"/>
              <w:rPr/>
            </w:pPr>
            <w:r>
              <w:rPr/>
            </w:r>
          </w:p>
        </w:tc>
        <w:tc>
          <w:tcPr>
            <w:tcW w:w="266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0"/>
        <w:gridCol w:w="4345"/>
      </w:tblGrid>
      <w:tr>
        <w:trPr/>
        <w:tc>
          <w:tcPr>
            <w:tcW w:w="586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Samira Sakhia</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Samira Sakhia/President and Chief Executive Officer</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07/28/2026</w:t>
                  </w:r>
                </w:p>
              </w:tc>
            </w:tr>
          </w:tbl>
          <w:p>
            <w:pPr>
              <w:pStyle w:val="TableContents"/>
              <w:bidi w:val="0"/>
              <w:spacing w:before="0" w:after="283"/>
              <w:jc w:val="left"/>
              <w:rPr/>
            </w:pPr>
            <w:r>
              <w:rPr/>
            </w:r>
          </w:p>
        </w:tc>
        <w:tc>
          <w:tcPr>
            <w:tcW w:w="434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874</Words>
  <Characters>4474</Characters>
  <CharactersWithSpaces>5339</CharactersWithSpaces>
  <Paragraphs>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