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301426-s3_60degrees.htm"/>
      <w:bookmarkStart w:id="1" w:name="ksea0301426s3_60degrees"/>
      <w:bookmarkEnd w:id="0"/>
      <w:bookmarkEnd w:id="1"/>
      <w:r>
        <w:rPr>
          <w:rFonts w:ascii="Times New Roman;Times;Serif" w:hAnsi="Times New Roman;Times;Serif"/>
          <w:b/>
          <w:i w:val="false"/>
          <w:caps w:val="false"/>
          <w:smallCaps w:val="false"/>
          <w:sz w:val="20"/>
        </w:rPr>
        <w:t>As filed with the Securities and Exchange Commission on August 14,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333-___________</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9438" w:type="dxa"/>
        <w:jc w:val="left"/>
        <w:tblInd w:w="0" w:type="dxa"/>
        <w:tblLayout w:type="fixed"/>
        <w:tblCellMar>
          <w:top w:w="0" w:type="dxa"/>
          <w:left w:w="0" w:type="dxa"/>
          <w:bottom w:w="28" w:type="dxa"/>
          <w:right w:w="0" w:type="dxa"/>
        </w:tblCellMar>
      </w:tblPr>
      <w:tblGrid>
        <w:gridCol w:w="5292"/>
        <w:gridCol w:w="127"/>
        <w:gridCol w:w="4019"/>
      </w:tblGrid>
      <w:tr>
        <w:trPr/>
        <w:tc>
          <w:tcPr>
            <w:tcW w:w="5292"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127" w:type="dxa"/>
            <w:tcBorders/>
            <w:tcMar>
              <w:bottom w:w="0" w:type="dxa"/>
            </w:tcMar>
            <w:vAlign w:val="center"/>
          </w:tcPr>
          <w:p>
            <w:pPr>
              <w:pStyle w:val="TableContents"/>
              <w:bidi w:val="0"/>
              <w:spacing w:before="0" w:after="283"/>
              <w:jc w:val="left"/>
              <w:rPr/>
            </w:pPr>
            <w:r>
              <w:rPr/>
              <w:t> </w:t>
            </w:r>
          </w:p>
        </w:tc>
        <w:tc>
          <w:tcPr>
            <w:tcW w:w="4019" w:type="dxa"/>
            <w:tcBorders>
              <w:bottom w:val="single" w:sz="12" w:space="0" w:color="000000"/>
            </w:tcBorders>
            <w:vAlign w:val="center"/>
          </w:tcPr>
          <w:p>
            <w:pPr>
              <w:pStyle w:val="TableContents"/>
              <w:bidi w:val="0"/>
              <w:spacing w:before="0" w:after="283"/>
              <w:jc w:val="center"/>
              <w:rPr>
                <w:b/>
                <w:sz w:val="20"/>
              </w:rPr>
            </w:pPr>
            <w:r>
              <w:rPr>
                <w:b/>
                <w:sz w:val="20"/>
              </w:rPr>
              <w:t>45-2406880</w:t>
            </w:r>
          </w:p>
        </w:tc>
      </w:tr>
      <w:tr>
        <w:trPr/>
        <w:tc>
          <w:tcPr>
            <w:tcW w:w="5292"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127" w:type="dxa"/>
            <w:tcBorders/>
            <w:tcMar>
              <w:bottom w:w="0" w:type="dxa"/>
            </w:tcMar>
            <w:vAlign w:val="center"/>
          </w:tcPr>
          <w:p>
            <w:pPr>
              <w:pStyle w:val="TableContents"/>
              <w:bidi w:val="0"/>
              <w:spacing w:before="0" w:after="283"/>
              <w:jc w:val="left"/>
              <w:rPr/>
            </w:pPr>
            <w:r>
              <w:rPr/>
              <w:t> </w:t>
            </w:r>
          </w:p>
        </w:tc>
        <w:tc>
          <w:tcPr>
            <w:tcW w:w="4019"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r>
        <w:trPr/>
        <w:tc>
          <w:tcPr>
            <w:tcW w:w="9438" w:type="dxa"/>
            <w:gridSpan w:val="3"/>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327-5422</w:t>
            </w:r>
          </w:p>
        </w:tc>
      </w:tr>
      <w:tr>
        <w:trPr/>
        <w:tc>
          <w:tcPr>
            <w:tcW w:w="9438" w:type="dxa"/>
            <w:gridSpan w:val="3"/>
            <w:tcBorders/>
            <w:tcMar>
              <w:bottom w:w="0" w:type="dxa"/>
            </w:tcMar>
            <w:vAlign w:val="center"/>
          </w:tcPr>
          <w:p>
            <w:pPr>
              <w:pStyle w:val="TableContents"/>
              <w:bidi w:val="0"/>
              <w:spacing w:before="0" w:after="283"/>
              <w:jc w:val="center"/>
              <w:rPr>
                <w:sz w:val="20"/>
              </w:rPr>
            </w:pPr>
            <w:r>
              <w:rPr>
                <w:sz w:val="20"/>
              </w:rPr>
              <w:t>(Address, including zip code, and telephone number, including area code, of registrant’s principal executive offices)</w:t>
            </w:r>
          </w:p>
        </w:tc>
      </w:tr>
      <w:tr>
        <w:trPr/>
        <w:tc>
          <w:tcPr>
            <w:tcW w:w="9438" w:type="dxa"/>
            <w:gridSpan w:val="3"/>
            <w:tcBorders/>
            <w:tcMar>
              <w:bottom w:w="0" w:type="dxa"/>
            </w:tcMar>
            <w:vAlign w:val="center"/>
          </w:tcPr>
          <w:p>
            <w:pPr>
              <w:pStyle w:val="TableContents"/>
              <w:bidi w:val="0"/>
              <w:spacing w:before="0" w:after="283"/>
              <w:jc w:val="center"/>
              <w:rPr/>
            </w:pPr>
            <w:r>
              <w:rPr/>
              <w:t> </w:t>
            </w:r>
          </w:p>
        </w:tc>
      </w:tr>
      <w:tr>
        <w:trPr/>
        <w:tc>
          <w:tcPr>
            <w:tcW w:w="9438" w:type="dxa"/>
            <w:gridSpan w:val="3"/>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Geoffrey Dow</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327-5422</w:t>
            </w:r>
          </w:p>
        </w:tc>
      </w:tr>
      <w:tr>
        <w:trPr/>
        <w:tc>
          <w:tcPr>
            <w:tcW w:w="9438" w:type="dxa"/>
            <w:gridSpan w:val="3"/>
            <w:tcBorders/>
            <w:tcMar>
              <w:bottom w:w="0" w:type="dxa"/>
            </w:tcMar>
            <w:vAlign w:val="center"/>
          </w:tcPr>
          <w:p>
            <w:pPr>
              <w:pStyle w:val="TableContents"/>
              <w:bidi w:val="0"/>
              <w:spacing w:before="0" w:after="283"/>
              <w:jc w:val="center"/>
              <w:rPr>
                <w:sz w:val="20"/>
              </w:rPr>
            </w:pPr>
            <w:r>
              <w:rPr>
                <w:sz w:val="20"/>
              </w:rPr>
              <w:t>(Name, address, including zip code, and telephone number, including area code, of agent for service)</w:t>
            </w:r>
          </w:p>
        </w:tc>
      </w:tr>
      <w:tr>
        <w:trPr/>
        <w:tc>
          <w:tcPr>
            <w:tcW w:w="9438" w:type="dxa"/>
            <w:gridSpan w:val="3"/>
            <w:tcBorders/>
            <w:tcMar>
              <w:bottom w:w="0" w:type="dxa"/>
            </w:tcMar>
            <w:vAlign w:val="center"/>
          </w:tcPr>
          <w:p>
            <w:pPr>
              <w:pStyle w:val="TableContents"/>
              <w:bidi w:val="0"/>
              <w:spacing w:before="0" w:after="283"/>
              <w:jc w:val="center"/>
              <w:rPr/>
            </w:pPr>
            <w:r>
              <w:rPr/>
              <w:t> </w:t>
            </w:r>
          </w:p>
        </w:tc>
      </w:tr>
      <w:tr>
        <w:trPr/>
        <w:tc>
          <w:tcPr>
            <w:tcW w:w="9438"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Ross D. Carmel,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Jesse L. Blue, Esq.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Sichenzia Ross Ference Carmel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 Avenue of the Americas, 26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930-9700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35"/>
        <w:gridCol w:w="230"/>
        <w:gridCol w:w="227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sz w:val="20"/>
              </w:rPr>
            </w:pPr>
            <w:r>
              <w:rPr>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sz w:val="20"/>
              </w:rPr>
            </w:pPr>
            <w:r>
              <w:rPr>
                <w:sz w:val="20"/>
              </w:rPr>
              <w:t xml:space="preserve">Smaller reporting company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360" w:right="0" w:firstLine="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August 14, 2026</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1,769,593 Shares of Common Stock,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certain Pre-Funded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and Placement Agent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495675" cy="1390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95675" cy="1390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on a resale basis, by the selling stockholders identified herein and any of their respective transferees, pledgees, assignees, donees, distributees, or other successors-in-interest, of up to an aggregate of 1,769,593 shares of our common stock, par value $0.0001 per share (“Common Stock”), consisting of: (i) 191,571 shares of common stock, (ii) 383,142 shares of Common Stock issuable upon exercise of pre-funded warrants held by certain selling stockholders (the “Pre-Funded Warrants”), (iii) 574,713 shares of Common Stock issuable upon exercise of Series A warrants (the “Series A Warrants”), (iv) 574,713 shares of Common Stock issuable upon exercise of Series B warrants (the “Series B Warrants,” together with Series A Warrants, the “Common Warrants”) (and collectively with the Pre-Funded Warrants and Common Warrants, the “Purchase Warrants”), and (v) 45,454 shares of Common Stock issuable upon the exercise of placement agent warrants (the “Placement Agent Warrants” and together with the Purchase Warrants, the “Warrants”) that were issued to H.C. Wainwright &amp; Co., LLC (“Wainwright” or the “Placement Agent”) as partial compensation for Wainwright acting as placement agent in connection with the Private Placement (as defined below) and are held by certain designees (and certain of their assignees) of Wainwright. The Warrants were issued to the selling stockholders in connection with a private placement we completed on July 30, 2026 (the “Private Placement”). We refer to the 1,769,593 shares of Common Stock and the Common Stock underlying the Warrants being registered herein as the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shares of our Common Stock for sale by us under this prospectus. We are registering the shares of Common Stock covered by this prospectus to be sold by the selling stockholders under the terms of a registration rights agreement dated July 30, 2026, entered into with the selling stockholders in connection with the Private Placement. We will not receive any of the proceeds from the sale by the selling stockholders of the Common Stock. Upon any exercise of the Warrants for cash, however, we will receive the exercise price of the respective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the registration statement of which this prospectus forms a part, the selling stockholders may, from time to time, sell, transfer, or otherwise dispose of any or all of their securities on any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negotiated prices. For more information,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sell or distribute all or a portion of the Registered Securities publicly or through private transactions at prevailing market prices or at negotiated prices. The selling stockholders may retain underwriters, dealers or agents from time to time. See “Plan of Distribution” for more information about how the selling stockholders may sell the 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Registered Securities, but we agreed to bear the expenses relating to the registration of the 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trading on the Nasdaq Capital Market under the symbol “SXTP.” On August 13, 2026, the last reported sale price of our Common Stock on the Nasdaq Capital Market was $1.18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information contained under “Risk Factors” on page 39 of this prospectus and in the documents incorporated herein by reference. You should read this entire prospectus carefully before you make your investment decision.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pPr>
      <w:r>
        <w:rPr>
          <w:caps w:val="false"/>
          <w:smallCaps w:val="false"/>
        </w:rPr>
        <w:t> </w:t>
      </w:r>
      <w:r>
        <w:rPr/>
        <w:t xml:space="preserve">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sz w:val="20"/>
                </w:rPr>
                <w:t>IMPORTANT INFORMATION ABOUT THIS PROSPECTUS</w:t>
              </w:r>
            </w:hyperlink>
          </w:p>
        </w:tc>
        <w:tc>
          <w:tcPr>
            <w:tcW w:w="455" w:type="dxa"/>
            <w:tcBorders/>
            <w:shd w:fill="CCEEFF" w:val="clear"/>
            <w:vAlign w:val="center"/>
          </w:tcPr>
          <w:p>
            <w:pPr>
              <w:pStyle w:val="TableContents"/>
              <w:bidi w:val="0"/>
              <w:spacing w:before="0" w:after="283"/>
              <w:jc w:val="center"/>
              <w:rPr>
                <w:sz w:val="20"/>
              </w:rPr>
            </w:pPr>
            <w:r>
              <w:rPr>
                <w:sz w:val="20"/>
              </w:rPr>
              <w:t>ii</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2">
              <w:r>
                <w:rPr>
                  <w:rStyle w:val="InternetLink"/>
                  <w:sz w:val="20"/>
                </w:rPr>
                <w:t>CAUTIONARY NOTE REGARDING FORWARD-LOOKING STATEMENTS</w:t>
              </w:r>
            </w:hyperlink>
          </w:p>
        </w:tc>
        <w:tc>
          <w:tcPr>
            <w:tcW w:w="455" w:type="dxa"/>
            <w:tcBorders/>
            <w:shd w:fill="CCEEFF" w:val="clear"/>
            <w:vAlign w:val="center"/>
          </w:tcPr>
          <w:p>
            <w:pPr>
              <w:pStyle w:val="TableContents"/>
              <w:bidi w:val="0"/>
              <w:spacing w:before="0" w:after="283"/>
              <w:jc w:val="center"/>
              <w:rPr>
                <w:sz w:val="20"/>
              </w:rPr>
            </w:pPr>
            <w:r>
              <w:rPr>
                <w:sz w:val="20"/>
              </w:rPr>
              <w:t>iii</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3">
              <w:r>
                <w:rPr>
                  <w:rStyle w:val="InternetLink"/>
                  <w:sz w:val="20"/>
                </w:rPr>
                <w:t>SUMMARY</w:t>
              </w:r>
            </w:hyperlink>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4">
              <w:r>
                <w:rPr>
                  <w:rStyle w:val="InternetLink"/>
                  <w:sz w:val="20"/>
                </w:rPr>
                <w:t>THE OFFERING</w:t>
              </w:r>
            </w:hyperlink>
          </w:p>
        </w:tc>
        <w:tc>
          <w:tcPr>
            <w:tcW w:w="455" w:type="dxa"/>
            <w:tcBorders/>
            <w:shd w:fill="CCEEFF" w:val="clear"/>
            <w:vAlign w:val="center"/>
          </w:tcPr>
          <w:p>
            <w:pPr>
              <w:pStyle w:val="TableContents"/>
              <w:bidi w:val="0"/>
              <w:spacing w:before="0" w:after="283"/>
              <w:jc w:val="center"/>
              <w:rPr/>
            </w:pPr>
            <w:r>
              <w:rPr/>
              <w:t>38</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5">
              <w:r>
                <w:rPr>
                  <w:rStyle w:val="InternetLink"/>
                  <w:sz w:val="20"/>
                </w:rPr>
                <w:t>RISK FACTORS</w:t>
              </w:r>
            </w:hyperlink>
          </w:p>
        </w:tc>
        <w:tc>
          <w:tcPr>
            <w:tcW w:w="455" w:type="dxa"/>
            <w:tcBorders/>
            <w:shd w:fill="CCEEFF" w:val="clear"/>
            <w:vAlign w:val="center"/>
          </w:tcPr>
          <w:p>
            <w:pPr>
              <w:pStyle w:val="TableContents"/>
              <w:bidi w:val="0"/>
              <w:spacing w:before="0" w:after="283"/>
              <w:jc w:val="center"/>
              <w:rPr/>
            </w:pPr>
            <w:r>
              <w:rPr/>
              <w:t>39</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6">
              <w:r>
                <w:rPr>
                  <w:rStyle w:val="InternetLink"/>
                  <w:sz w:val="20"/>
                </w:rPr>
                <w:t>USE OF PROCEEDS</w:t>
              </w:r>
            </w:hyperlink>
          </w:p>
        </w:tc>
        <w:tc>
          <w:tcPr>
            <w:tcW w:w="455" w:type="dxa"/>
            <w:tcBorders/>
            <w:shd w:fill="CCEEFF" w:val="clear"/>
            <w:vAlign w:val="center"/>
          </w:tcPr>
          <w:p>
            <w:pPr>
              <w:pStyle w:val="TableContents"/>
              <w:bidi w:val="0"/>
              <w:spacing w:before="0" w:after="283"/>
              <w:jc w:val="center"/>
              <w:rPr/>
            </w:pPr>
            <w:r>
              <w:rPr/>
              <w:t>40</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7">
              <w:r>
                <w:rPr>
                  <w:rStyle w:val="InternetLink"/>
                  <w:sz w:val="20"/>
                </w:rPr>
                <w:t>SELLING STOCKHOLDERS</w:t>
              </w:r>
            </w:hyperlink>
          </w:p>
        </w:tc>
        <w:tc>
          <w:tcPr>
            <w:tcW w:w="455" w:type="dxa"/>
            <w:tcBorders/>
            <w:shd w:fill="CCEEFF" w:val="clear"/>
            <w:vAlign w:val="center"/>
          </w:tcPr>
          <w:p>
            <w:pPr>
              <w:pStyle w:val="TableContents"/>
              <w:bidi w:val="0"/>
              <w:spacing w:before="0" w:after="283"/>
              <w:jc w:val="center"/>
              <w:rPr/>
            </w:pPr>
            <w:r>
              <w:rPr/>
              <w:t>40</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8">
              <w:r>
                <w:rPr>
                  <w:rStyle w:val="InternetLink"/>
                  <w:sz w:val="20"/>
                </w:rPr>
                <w:t>PLAN OF DISTRIBUTION</w:t>
              </w:r>
            </w:hyperlink>
          </w:p>
        </w:tc>
        <w:tc>
          <w:tcPr>
            <w:tcW w:w="455" w:type="dxa"/>
            <w:tcBorders/>
            <w:shd w:fill="CCEEFF" w:val="clear"/>
            <w:vAlign w:val="center"/>
          </w:tcPr>
          <w:p>
            <w:pPr>
              <w:pStyle w:val="TableContents"/>
              <w:bidi w:val="0"/>
              <w:spacing w:before="0" w:after="283"/>
              <w:jc w:val="center"/>
              <w:rPr/>
            </w:pPr>
            <w:r>
              <w:rPr/>
              <w:t>43</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9">
              <w:r>
                <w:rPr>
                  <w:rStyle w:val="InternetLink"/>
                  <w:sz w:val="20"/>
                </w:rPr>
                <w:t>DESCRIPTION OF SECURITIES</w:t>
              </w:r>
            </w:hyperlink>
          </w:p>
        </w:tc>
        <w:tc>
          <w:tcPr>
            <w:tcW w:w="455" w:type="dxa"/>
            <w:tcBorders/>
            <w:shd w:fill="CCEEFF" w:val="clear"/>
            <w:vAlign w:val="center"/>
          </w:tcPr>
          <w:p>
            <w:pPr>
              <w:pStyle w:val="TableContents"/>
              <w:bidi w:val="0"/>
              <w:spacing w:before="0" w:after="283"/>
              <w:jc w:val="center"/>
              <w:rPr/>
            </w:pPr>
            <w:r>
              <w:rPr/>
              <w:t>45</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0">
              <w:r>
                <w:rPr>
                  <w:rStyle w:val="InternetLink"/>
                  <w:sz w:val="20"/>
                </w:rPr>
                <w:t>DIVIDEND POLICY</w:t>
              </w:r>
            </w:hyperlink>
          </w:p>
        </w:tc>
        <w:tc>
          <w:tcPr>
            <w:tcW w:w="455" w:type="dxa"/>
            <w:tcBorders/>
            <w:shd w:fill="CCEEFF" w:val="clear"/>
            <w:vAlign w:val="center"/>
          </w:tcPr>
          <w:p>
            <w:pPr>
              <w:pStyle w:val="TableContents"/>
              <w:bidi w:val="0"/>
              <w:spacing w:before="0" w:after="283"/>
              <w:jc w:val="center"/>
              <w:rPr/>
            </w:pPr>
            <w:r>
              <w:rPr/>
              <w:t>48</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1">
              <w:r>
                <w:rPr>
                  <w:rStyle w:val="InternetLink"/>
                  <w:sz w:val="20"/>
                </w:rPr>
                <w:t>LEGAL MATTERS</w:t>
              </w:r>
            </w:hyperlink>
          </w:p>
        </w:tc>
        <w:tc>
          <w:tcPr>
            <w:tcW w:w="455" w:type="dxa"/>
            <w:tcBorders/>
            <w:shd w:fill="CCEEFF" w:val="clear"/>
            <w:vAlign w:val="center"/>
          </w:tcPr>
          <w:p>
            <w:pPr>
              <w:pStyle w:val="TableContents"/>
              <w:bidi w:val="0"/>
              <w:spacing w:before="0" w:after="283"/>
              <w:jc w:val="center"/>
              <w:rPr/>
            </w:pPr>
            <w:r>
              <w:rPr/>
              <w:t>48</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2">
              <w:r>
                <w:rPr>
                  <w:rStyle w:val="InternetLink"/>
                  <w:sz w:val="20"/>
                </w:rPr>
                <w:t>EXPERTS</w:t>
              </w:r>
            </w:hyperlink>
          </w:p>
        </w:tc>
        <w:tc>
          <w:tcPr>
            <w:tcW w:w="455" w:type="dxa"/>
            <w:tcBorders/>
            <w:shd w:fill="CCEEFF" w:val="clear"/>
            <w:vAlign w:val="center"/>
          </w:tcPr>
          <w:p>
            <w:pPr>
              <w:pStyle w:val="TableContents"/>
              <w:bidi w:val="0"/>
              <w:spacing w:before="0" w:after="283"/>
              <w:jc w:val="center"/>
              <w:rPr/>
            </w:pPr>
            <w:r>
              <w:rPr/>
              <w:t>48</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3">
              <w:r>
                <w:rPr>
                  <w:rStyle w:val="InternetLink"/>
                  <w:sz w:val="20"/>
                </w:rPr>
                <w:t>WHERE YOU CAN FIND MORE INFORMATION</w:t>
              </w:r>
            </w:hyperlink>
          </w:p>
        </w:tc>
        <w:tc>
          <w:tcPr>
            <w:tcW w:w="455" w:type="dxa"/>
            <w:tcBorders/>
            <w:shd w:fill="CCEEFF" w:val="clear"/>
            <w:vAlign w:val="center"/>
          </w:tcPr>
          <w:p>
            <w:pPr>
              <w:pStyle w:val="TableContents"/>
              <w:bidi w:val="0"/>
              <w:spacing w:before="0" w:after="283"/>
              <w:jc w:val="center"/>
              <w:rPr/>
            </w:pPr>
            <w:r>
              <w:rPr/>
              <w:t>48</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4">
              <w:r>
                <w:rPr>
                  <w:rStyle w:val="InternetLink"/>
                  <w:sz w:val="20"/>
                </w:rPr>
                <w:t>INCORPORATION OF CERTAIN DOCUMENTS BY REFERENCE</w:t>
              </w:r>
            </w:hyperlink>
          </w:p>
        </w:tc>
        <w:tc>
          <w:tcPr>
            <w:tcW w:w="455" w:type="dxa"/>
            <w:tcBorders/>
            <w:shd w:fill="CCEEFF" w:val="clear"/>
            <w:vAlign w:val="center"/>
          </w:tcPr>
          <w:p>
            <w:pPr>
              <w:pStyle w:val="TableContents"/>
              <w:bidi w:val="0"/>
              <w:spacing w:before="0" w:after="283"/>
              <w:jc w:val="center"/>
              <w:rPr/>
            </w:pPr>
            <w:r>
              <w:rPr/>
              <w:t>49</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5">
              <w:r>
                <w:rPr>
                  <w:rStyle w:val="InternetLink"/>
                  <w:sz w:val="20"/>
                </w:rPr>
                <w:t>PART II INFORMATION NOT REQUIRED IN PROSPECTUS</w:t>
              </w:r>
            </w:hyperlink>
          </w:p>
        </w:tc>
        <w:tc>
          <w:tcPr>
            <w:tcW w:w="455" w:type="dxa"/>
            <w:tcBorders/>
            <w:shd w:fill="CCEEFF" w:val="clear"/>
            <w:vAlign w:val="center"/>
          </w:tcPr>
          <w:p>
            <w:pPr>
              <w:pStyle w:val="TableContents"/>
              <w:bidi w:val="0"/>
              <w:spacing w:before="0" w:after="283"/>
              <w:jc w:val="center"/>
              <w:rPr>
                <w:sz w:val="20"/>
              </w:rPr>
            </w:pPr>
            <w:r>
              <w:rPr>
                <w:sz w:val="20"/>
              </w:rPr>
              <w:t>II-1</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6">
              <w:r>
                <w:rPr>
                  <w:rStyle w:val="InternetLink"/>
                  <w:sz w:val="20"/>
                </w:rPr>
                <w:t>SIGNATURES</w:t>
              </w:r>
            </w:hyperlink>
          </w:p>
        </w:tc>
        <w:tc>
          <w:tcPr>
            <w:tcW w:w="455" w:type="dxa"/>
            <w:tcBorders/>
            <w:shd w:fill="CCEEFF" w:val="clear"/>
            <w:vAlign w:val="center"/>
          </w:tcPr>
          <w:p>
            <w:pPr>
              <w:pStyle w:val="TableContents"/>
              <w:bidi w:val="0"/>
              <w:spacing w:before="0" w:after="283"/>
              <w:jc w:val="center"/>
              <w:rPr>
                <w:sz w:val="20"/>
              </w:rPr>
            </w:pPr>
            <w:r>
              <w:rPr>
                <w:sz w:val="20"/>
              </w:rPr>
              <w:t>II-4</w:t>
            </w:r>
          </w:p>
        </w:tc>
      </w:tr>
      <w:tr>
        <w:trPr/>
        <w:tc>
          <w:tcPr>
            <w:tcW w:w="624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7">
              <w:r>
                <w:rPr>
                  <w:rStyle w:val="InternetLink"/>
                  <w:sz w:val="20"/>
                </w:rPr>
                <w:t>EXHIBIT INDEX</w:t>
              </w:r>
            </w:hyperlink>
          </w:p>
        </w:tc>
        <w:tc>
          <w:tcPr>
            <w:tcW w:w="455" w:type="dxa"/>
            <w:tcBorders/>
            <w:shd w:fill="CCEEFF" w:val="clear"/>
            <w:vAlign w:val="center"/>
          </w:tcPr>
          <w:p>
            <w:pPr>
              <w:pStyle w:val="TableContents"/>
              <w:bidi w:val="0"/>
              <w:spacing w:before="0" w:after="283"/>
              <w:jc w:val="center"/>
              <w:rPr>
                <w:sz w:val="20"/>
              </w:rPr>
            </w:pPr>
            <w:r>
              <w:rPr>
                <w:sz w:val="20"/>
              </w:rPr>
              <w:t>II-5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IMPORTANT INFORMATION 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pursuant to which the selling stockholders named herein may, from time to time, offer and sell or otherwise dispose of the shares of our Common Stock, $0.0001 par value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More Information” and “Incorporation of Certain Documents by Reference” in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give any information or to make any representation to you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shares of Common Stock other than the shares of our Common Stock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have indicated otherwise, or the context otherwise requires, references in this prospectus to “SXTP,” the “Company,” “we,” “us” and “our” refer to 60 Degrees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Forward-looking statements reflect the current view about future events. When used in this prospectus, the words “anticipate,” “believe,” “estimate,” “expect,” “future,” “intend,” “plan,” or the negative of these terms and similar expressions, as they relate to us or our management, identify forward-looking statements. Such statements include, but are not limited to, statements contained in this prospectus relating to our business strategy, our future operating results and liquidity and capital resources outlook.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of assurance of future performance. We caution you therefore against relying on any of these forward-looking statements. Important factors that could cause actual results to differ materially from those in the forward-looking statements include,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effectively operate our business segments;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manage our research, development, expansion, growth and operating expenses;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evaluate and measure our business, prospects and performance metrics;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compete, directly and indirectly, and succeed in a highly competitive and evolving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respond and adapt to changes in technology and customer behavior;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protect our intellectual property and to develop, maintain and enhance a strong brand;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other factors (including the risks contained in the section of this prospectus entitled “</w:t>
            </w:r>
            <w:r>
              <w:rPr>
                <w:i/>
                <w:sz w:val="20"/>
              </w:rPr>
              <w:t>Risk Factors</w:t>
            </w:r>
            <w:r>
              <w:rPr>
                <w:sz w:val="20"/>
              </w:rPr>
              <w:t>”) relating to our industry, our operations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or events that could cause our actual results to differ may emerge from time to time, and it is not possible for us to predict all of them. We cannot guarantee future results, levels of activity, performance or achievements. Except as required by applicable law, including the securities laws of the United States, we do not intend to update any of the forward-looking statements to conform these statements to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Overview</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specialty pharmaceutical company with a goal of using cutting-edge biological science and applied research to further develop and commercialize new therapies for the prevention and treatment of infectious diseases. We have successfully achieved regulatory approval of Arakoda, a malaria preventative treatment that has been on the market since late 2019. Currently, 60P’s pipeline under development covers development programs for vector-borne, fungal, and viral diseases utilizing three of the Company’s future products: (i) new products that contain the Arakoda regimen of Tafenoquine; (ii) new products that contain Tafenoquine; and (iii) Celgosivir and/or botanical extracts from Australian Chestnut Trees.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Corporate History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 Degrees Pharmaceuticals, Inc. is a Delaware corporation that was incorporated on June 1, 2022. On June 1, 2022, 60 Degrees Pharmaceuticals, LLC, a District of Columbia limited liability company (“60P LLC”), entered into the Agreement and Plan of Merger with 60 Degrees Pharmaceuticals, Inc., pursuant to which 60P LLC merged into 60 Degrees Pharmaceuticals, Inc. The value of each outstanding membership interest in 60P LLC was correspondingly converted into common stock of 60 Degrees Pharmaceuticals, Inc., par value $0.0001 per share, with a cost-basis equal to $1,200.00 per share.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also operate one subsidiary. A summary of our majority-owned subsidiary is below.</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own 97% equity in 60P Australia Pty Ltd, a Sydney, Australia-based subsidiary (“60P Australia”). 60P Australia holds sub-licensing rights for several ex-U.S. territories for our product.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60P Australia previously solely owned a Singaporean subsidiary company, 60P Singapore Pte. Ltd., which dissolved at our election in the second quarter of 2022.</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Recent Developments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2026 Annual Meeting of Stockholders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2026, we conducted our virtual 2026 Annual Meeting of Stockholders (the “2026 Annual Meeting”). Our stockholders of record at the close of business on July 2, 2026, the record date for the determination of stockholders entitled to vote at the 2026 Annual Meeting, approved the proposals to (1) elect five directors to serve until the 2027 Annual Meeting of Stockholders and until their respective successors are duly elected and qualified; (2) approve an amendment to the 2022 Plan to increase the number of shares of common stock available for issuance by 800,000 shares; (3) approve an amendment to the Company’s Certificate of Incorporation, to effect a reverse stock split of the common stock at a reverse stock split ratio ranging from 1:5 to 1:10 inclusive, as may be determined at the appropriate time by the Board of Directors, in its sole discretion; (4) ratify the selection of RBSM LLP by the Board of Directors as the Company’s independent registered public accounting firm for the fiscal year ending December 31, 2026 and (5) to approve a payment to management of a success fee five percent (5%) of deal proceeds between a deal value of $40 million and $100 million, and six percent (6%) of deal proceeds for a deal value in excess of $100 million, in the event of a change of control, strategic transaction or sale of Arakoda, to be awarded as cash or equity to members of the management team, as determined by the Board of Directors in its sole discretion.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2025 ATM Agreement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5, 2025, we entered into an At-The-Market Sales Agreement (the “2025 ATM Agreement”) with H.C. Wainwright &amp; Co., LLC (“Wainwright”) pursuant to which we may, from time to time, offer and sell shares of our common stock, having aggregate gross sales proceeds of up to $1,397,532 (the “2025 ATM Offering”). As compensation for acting as the sales agent for the 2025 ATM Offering, Wainwright is entitled to a commission of 3.0% of the gross proceeds from sales of shares in the 2025 ATM Offering.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common stock sold under the 2025 ATM Agreement was issued and sold pursuant to our shelf registration statement on Form S-3 and accompanying base prospectus (Registration Statement No. 333-280796), which was declared effective by the SEC on July 18, 2024, and our prospectus supplement dated September 5, 2025 relating to the offer and sale of the shares pursuant to the 2025 ATM Agreement.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Between October 16, 2025 and January 22, 2026, we sold an aggregate of 555,593 shares at a weighted average price per share of $2.51, generating net proceeds of $1,239,819, after deducting commissions and other offering expenses.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2026 ATM Prospectus Supplement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 2026, we filed a prospectus supplement pursuant to Rule 424(b)(5), updating the amount we were permitted to offer and sell under the 2025 ATM Agreement to allow for additional gross sales proceeds of $1,308,000 (the “2026 ATM Prospectus Supplement”). The 2026 ATM Prospectus Supplement was subsequently amended on March 11, 2026, and March 13, 2026, to increase the maximum aggregate offering price by $981,000 and $565,000, respectively (the “2026 ATM Prospectus Supplement Amendment,” and together with the 2026 ATM Prospectus Supplement the “2026 ATM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compensation for acting as the sales agent for the 2026 ATM Offering, Wainwright is entitled to a commission of 3.0% of the gross proceeds from the sales of shares in the 2026 ATM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common stock sold pursuant to the 2026 ATM Prospectus Supplement was issued and sold pursuant to our shelf registration statement on Form S-3 and accompanying base prospectus (Registration Statement No. 333-280796), which was declared effective by the SEC on July 18, 2024, the prospectus supplement dated September 5, 2025, and the 2026 ATM Prospectus Supplement relating to the offer and sale of the shares pursuant to the 2025 ATM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Between March 2, 2026, and March 25, 2026, we sold an aggregate of 1,055,106 shares at a weighted average price per share of $2.49 generating net proceeds of $2,535,047, after deducting commissions and certain other offering expenses. We currently expect to use the net proceeds from the 2026 ATM Offering for similar general corporate purposes, including supporting our sales and marketing initiatives and ongoing clinical and preclinical research.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Due to the decline in our stock price, as of June 30, 2026, we did not have available capacity to sell additional shares under the 2025 ATM Agreement and related prospectus supplements based on the limitations of General Instruction I.B.6 of Form S-3, which restricts the aggregate market value of securities we may sell during any 12-month period to one-third of our public float. Our ability to resume sales under the 2025 ATM Agreement and related prospectus supplements will depend on future increases in our stock price or the passage of time such that prior sales are no longer counted within the trailing 12-month measurement period.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Reverse Stock Split and Nasdaq Delisting Notice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20, 2026, we received a notice from the Listing Qualifications Department of the Nasdaq Stock Market LLC (“Nasdaq”) indicating that Nasdaq staff had determined to delist our common stock and warrants from The Nasdaq Capital Market because our common stock failed to maintain a minimum bid price of $1.00 per share for 30 consecutive business days, in violation of Nasdaq Listing Rule 5550(a)(2). Upon receipt of the notice, we paid $20,000 for the hearing fee and requested an appeal with Nasdaq, pursuant to the notice, which stayed the suspension of trading and the filing of the Form 25-NSE pending the Panel’s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2025 Annual Stockholders Meeting in October 2025, our stockholders approved an amendment to our Certificate of Incorporation to effect a reverse stock split of our common stock at a range of ratios between 1:3 to 1:10, and on December 17, 2025, our Board of Directors approved the implementation of the reverse stock split at a ratio of 1:4 (the “1:4 Reverse Stock Split”). Beginning January 20, 2026, our common stock traded on The Nasdaq Capital Market on a split adjusted basis.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implementation of the 1:4 Reverse Stock Split, on February 11, 2026, we were notified by Nasdaq that we regained compliance with the minimum bid price requirement set forth in Nasdaq Listing Rule 5550(a)(2) and were therefore in compliance with the Nasdaq Capital Market’s listing requirements. As a result, the hearing before the Nasdaq Hearings Panel scheduled for February 19, 2026 was cancelled and the matter was closed. Our common stock and warrants will continue to be listed and traded on The Nasdaq Capital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1:4 Reverse Stock Split did not change the authorized number of shares of common stock or preferred stock. Proportional adjustments were made to the number of shares of common stock issuable upon exercise or conversion of our equity awards, warrants, and other equity instruments convertible into common stock, as well as the respective exercise prices, if applicable in accordance with the terms of the instruments. No fractional shares of common stock were issued in connection with the 1:4 Reverse Stock Split and all fractional shares were rounded up to the nearest whole share with respect to outstanding shares of common stock.</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otherwise noted, all references to numbers of shares of our common stock and per share information presented in this Quarterly Report on Form 10-Q have been retroactively restated, as appropriate, to reflect the effects of the 1:4 Reverse Stock Split.</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Mission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address the unmet medical need associated with vector-borne diseases through the development and commercialization of new small molecule therapeutics, focusing on synthetic drugs (made by chemists in labs, excluding biologics) with good safety profiles based on prior clinical studies, in order to reduce cost, risk, and capitalize on existing research. We are seeking to expand Arakoda’s use beyond malaria prevention and to demonstrate clinical benefit for other disease indications. We may seek to develop and license other molecules in the future.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Market Opportunity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Malaria Prevention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2018, the FDA approved Arakoda for malaria prevention in individuals 18 years and older. Arakoda entered the U.S. supply chain in the third quarter of 2019, just prior to the COVID-19 pandemic. As the approved indication is for travel medicine, and international travel was substantially impacted by the pandemic, we did not undertake any active marketing efforts for Arakoda. Following our financing in January 2024, the Company hired a Chief Commercial Officer and commissioned IQVIA market data and a qualitative marketing demand study. That research, recently completed, suggests that prescribing for malaria prevention therapies has returned to pre-pandemic levels, and that the total U.S. market represents around 1.1 million prescriptions (one prescription per three weeks of travel). Based on consumer and HCP demand research, the Company estimates that the accessible market for Arakoda represents about one-third of this volume (about 100,000 prescriptions). Barriers to entry include low brand awareness in the prescriber community, the low cost of some of the generic alternatives and the requirement for a blood test to assess G6PD status prior to travel. In the second half of 2024, we conducted a pilot commercialization study which suggested a lift in prescribing amongst physicians familiar with the product when exposed to promotional materials for Arakoda for malaria prevention. New initiatives are underway in 2026 to further overcome these barriers (see “Strategy”).</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Treatment and Prevention of Tick-Borne Disease (Babesiosis)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repositioning the Arakoda regimen of Tafenoquine for several potential new therapeutic indications that have substantial U.S. caseloads, as further described below: </w:t>
      </w:r>
    </w:p>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Treatment of Chronic Tick-Borne Disease (Babesiosis)</w:t>
            </w:r>
            <w:r>
              <w:rPr/>
              <w:t>. </w:t>
            </w:r>
            <w:r>
              <w:rPr>
                <w:i/>
              </w:rPr>
              <w:t>Babesia</w:t>
            </w:r>
            <w:r>
              <w:rPr/>
              <w:t> parasites are co-transmitted by the same ticks that transmit </w:t>
            </w:r>
            <w:r>
              <w:rPr>
                <w:i/>
              </w:rPr>
              <w:t>Borrelia</w:t>
            </w:r>
            <w:r>
              <w:rPr/>
              <w:t>, the Lyme disease bacterium. Although Lyme in the acute phase is generally viewed by the medical community as being treatable with antibiotics, individuals who are not treated, or fail treatment, may go on to develop long term, and potentially debilitating, chronic symptoms such as fatigue, body aches, and cognitive problems.</w:t>
            </w:r>
            <w:r>
              <w:rPr>
                <w:position w:val="8"/>
                <w:sz w:val="19"/>
              </w:rPr>
              <w:t>1</w:t>
            </w:r>
            <w:r>
              <w:rPr/>
              <w:t> This condition is defined by the Centers for Disease Control and Prevention (“CDC”) as Post-Treatment Lyme Disease Syndrome (“PTLDS”) or simply as Lyme in the patient community.</w:t>
            </w:r>
            <w:r>
              <w:rPr>
                <w:position w:val="8"/>
                <w:sz w:val="19"/>
              </w:rPr>
              <w:t>1</w:t>
            </w:r>
            <w:r>
              <w:rPr/>
              <w:t> Although there are no published estimates, key opinion leaders have stated that as many as 50% of Lyme/PTLDS patients are believed to be co-infected with </w:t>
            </w:r>
            <w:r>
              <w:rPr>
                <w:i/>
              </w:rPr>
              <w:t>Babesia</w:t>
            </w:r>
            <w:r>
              <w:rPr/>
              <w:t> parasites, a diagnosis referred to in the Lyme community as “Chronic Babesiosis.” Prescribers in the Lyme disease community utilize a number of therapeutic modalities to manage the symptoms of Chronic Babesiosis, including FDA-approved pharmaceuticals such as atovaquone and azithromycin (these are assumed to suppress the growth of </w:t>
            </w:r>
            <w:r>
              <w:rPr>
                <w:i/>
              </w:rPr>
              <w:t>Babesia</w:t>
            </w:r>
            <w:r>
              <w:rPr/>
              <w:t> parasites).</w:t>
            </w:r>
            <w:r>
              <w:rPr>
                <w:position w:val="8"/>
                <w:sz w:val="19"/>
              </w:rPr>
              <w:t>2</w:t>
            </w:r>
          </w:p>
        </w:tc>
      </w:tr>
    </w:tbl>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85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See https://www.cdc.gov/lyme/signs-symptoms/chronic-symptoms-and-lyme-disease.html.</w:t>
            </w:r>
          </w:p>
        </w:tc>
      </w:tr>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85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Conclusions from Company-commissioned market research.</w:t>
            </w:r>
          </w:p>
        </w:tc>
      </w:tr>
    </w:tbl>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Recent market data shows that Tafenoquine (primarily as Arakoda) appears to be increasingly prescribed by Lyme physicians to manage Chronic Babesiosis. This trend may follow the recent publication of several case reports demonstrating activity in immunosuppressed patients with acute babesiosis, and animal data showing eradication of </w:t>
      </w:r>
      <w:r>
        <w:rPr>
          <w:rFonts w:ascii="Times New Roman;Times;Serif" w:hAnsi="Times New Roman;Times;Serif"/>
          <w:b w:val="false"/>
          <w:i/>
          <w:caps w:val="false"/>
          <w:smallCaps w:val="false"/>
          <w:sz w:val="20"/>
          <w:bdr w:val="single" w:sz="12" w:space="1" w:color="000000"/>
        </w:rPr>
        <w:t>Babesia</w:t>
      </w:r>
      <w:r>
        <w:rPr>
          <w:rFonts w:ascii="Times New Roman;Times;Serif" w:hAnsi="Times New Roman;Times;Serif"/>
          <w:b w:val="false"/>
          <w:i w:val="false"/>
          <w:caps w:val="false"/>
          <w:smallCaps w:val="false"/>
          <w:sz w:val="20"/>
          <w:bdr w:val="single" w:sz="12" w:space="1" w:color="000000"/>
        </w:rPr>
        <w:t> parasites with Tafenoquine.</w:t>
      </w:r>
      <w:r>
        <w:rPr>
          <w:rFonts w:ascii="Times New Roman;Times;Serif" w:hAnsi="Times New Roman;Times;Serif"/>
          <w:b w:val="false"/>
          <w:i w:val="false"/>
          <w:caps w:val="false"/>
          <w:smallCaps w:val="false"/>
          <w:position w:val="7"/>
          <w:sz w:val="16"/>
          <w:sz w:val="20"/>
          <w:bdr w:val="single" w:sz="12" w:space="1" w:color="000000"/>
        </w:rPr>
        <w:t>3</w:t>
      </w:r>
      <w:r>
        <w:rPr>
          <w:rFonts w:ascii="Times New Roman;Times;Serif" w:hAnsi="Times New Roman;Times;Serif"/>
          <w:b w:val="false"/>
          <w:i w:val="false"/>
          <w:caps w:val="false"/>
          <w:smallCaps w:val="false"/>
          <w:sz w:val="20"/>
          <w:bdr w:val="single" w:sz="12" w:space="1" w:color="000000"/>
        </w:rPr>
        <w:t> The Company believes the recent increases in sales of Arakoda have been driven by organic growth of these activities. There are no formal epidemiological publications articulating the incidence or prevalence of Chronic Babesiosis, so these metrics must be inferred based on data for PTLDS and the rate of coinfection with </w:t>
      </w:r>
      <w:r>
        <w:rPr>
          <w:rFonts w:ascii="Times New Roman;Times;Serif" w:hAnsi="Times New Roman;Times;Serif"/>
          <w:b w:val="false"/>
          <w:i/>
          <w:caps w:val="false"/>
          <w:smallCaps w:val="false"/>
          <w:sz w:val="20"/>
          <w:bdr w:val="single" w:sz="12" w:space="1" w:color="000000"/>
        </w:rPr>
        <w:t>Babesia </w:t>
      </w:r>
      <w:r>
        <w:rPr>
          <w:rFonts w:ascii="Times New Roman;Times;Serif" w:hAnsi="Times New Roman;Times;Serif"/>
          <w:b w:val="false"/>
          <w:i w:val="false"/>
          <w:caps w:val="false"/>
          <w:smallCaps w:val="false"/>
          <w:sz w:val="20"/>
          <w:bdr w:val="single" w:sz="12" w:space="1" w:color="000000"/>
        </w:rPr>
        <w:t>parasites. Thus, we previously estimated the cumulative case load of Chronic Babesiosis may be as high as 1.01 million patients in the United States, but believe that, based on several new lines of evidence, the ceiling is 2-3 million.</w:t>
      </w:r>
      <w:r>
        <w:rPr>
          <w:rFonts w:ascii="Times New Roman;Times;Serif" w:hAnsi="Times New Roman;Times;Serif"/>
          <w:b w:val="false"/>
          <w:i w:val="false"/>
          <w:caps w:val="false"/>
          <w:smallCaps w:val="false"/>
          <w:position w:val="7"/>
          <w:sz w:val="16"/>
          <w:sz w:val="20"/>
          <w:bdr w:val="single" w:sz="12" w:space="1" w:color="000000"/>
        </w:rPr>
        <w:t> 4</w:t>
      </w:r>
      <w:r>
        <w:rPr>
          <w:rFonts w:ascii="Times New Roman;Times;Serif" w:hAnsi="Times New Roman;Times;Serif"/>
          <w:b w:val="false"/>
          <w:i w:val="false"/>
          <w:caps w:val="false"/>
          <w:smallCaps w:val="false"/>
          <w:sz w:val="20"/>
          <w:bdr w:val="single" w:sz="12" w:space="1" w:color="000000"/>
        </w:rPr>
        <w:t> </w:t>
      </w:r>
    </w:p>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recently completed initial market research involving interviews with 300 prescribing physicians, a survey of 6,000 U.S. adults, and an administrative claims dataset. Collectively this research suggests that the minimum number of persistent cases of babesiosis subject to insurance claims each year is approximately 7,900.</w:t>
      </w:r>
      <w:r>
        <w:rPr>
          <w:rFonts w:ascii="Times New Roman;Times;Serif" w:hAnsi="Times New Roman;Times;Serif"/>
          <w:b w:val="false"/>
          <w:i w:val="false"/>
          <w:caps w:val="false"/>
          <w:smallCaps w:val="false"/>
          <w:position w:val="7"/>
          <w:sz w:val="16"/>
          <w:sz w:val="20"/>
          <w:bdr w:val="single" w:sz="12" w:space="1" w:color="000000"/>
        </w:rPr>
        <w:t>5</w:t>
      </w:r>
      <w:r>
        <w:rPr>
          <w:rFonts w:ascii="Times New Roman;Times;Serif" w:hAnsi="Times New Roman;Times;Serif"/>
          <w:b w:val="false"/>
          <w:i w:val="false"/>
          <w:caps w:val="false"/>
          <w:smallCaps w:val="false"/>
          <w:sz w:val="20"/>
          <w:bdr w:val="single" w:sz="12" w:space="1" w:color="000000"/>
        </w:rPr>
        <w:t> However, prescribing intent and consumer survey data suggest that following a sustained diseases and product awareness campaign, assuming FDA labeling for babesiosis, and the commercial availability of sensitive molecular tests, the number of individuals diagnosed with persistent babesiosis with chronic fatigue treatable with Tafenoquine each year could be up to 60,000 individuals, representing approximately $30 million in sales (based on the Arakoda wholesale acquisition cost).</w:t>
      </w:r>
      <w:r>
        <w:rPr>
          <w:rFonts w:ascii="Times New Roman;Times;Serif" w:hAnsi="Times New Roman;Times;Serif"/>
          <w:b w:val="false"/>
          <w:i w:val="false"/>
          <w:caps w:val="false"/>
          <w:smallCaps w:val="false"/>
          <w:position w:val="7"/>
          <w:sz w:val="16"/>
          <w:sz w:val="20"/>
          <w:bdr w:val="single" w:sz="12" w:space="1" w:color="000000"/>
        </w:rPr>
        <w:t>6,7</w:t>
      </w:r>
      <w:r>
        <w:rPr>
          <w:rFonts w:ascii="Times New Roman;Times;Serif" w:hAnsi="Times New Roman;Times;Serif"/>
          <w:b w:val="false"/>
          <w:i w:val="false"/>
          <w:caps w:val="false"/>
          <w:smallCaps w:val="false"/>
          <w:sz w:val="20"/>
          <w:bdr w:val="single" w:sz="12" w:space="1" w:color="000000"/>
        </w:rPr>
        <w:t> While this difference between the status quo is and future potential is large, it mirrors the shift in disease burden in Lyme disease which was once believed to be &lt; 30,000, and is now thought to number &gt; 475,000 based on administrative claims data.</w:t>
      </w:r>
      <w:r>
        <w:rPr>
          <w:rFonts w:ascii="Times New Roman;Times;Serif" w:hAnsi="Times New Roman;Times;Serif"/>
          <w:b w:val="false"/>
          <w:i w:val="false"/>
          <w:caps w:val="false"/>
          <w:smallCaps w:val="false"/>
          <w:position w:val="7"/>
          <w:sz w:val="16"/>
          <w:sz w:val="20"/>
          <w:bdr w:val="single" w:sz="12" w:space="1" w:color="000000"/>
        </w:rPr>
        <w:t>8 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Treatment of Acute Babesiosis</w:t>
            </w:r>
            <w:r>
              <w:rPr/>
              <w:t>. There are up to 119,000 cases of potentially treatable acute symptomatic babesiosis (red blood cell infections caused by deer tick bites) in the United States each year.</w:t>
            </w:r>
            <w:r>
              <w:rPr>
                <w:position w:val="8"/>
                <w:sz w:val="19"/>
              </w:rPr>
              <w:t>9</w:t>
            </w:r>
            <w:r>
              <w:rPr/>
              <w:t> Approximately 650 of these cases are hospitalizations, a smaller fraction of which represents immunosuppressed individuals.</w:t>
            </w:r>
            <w:r>
              <w:rPr>
                <w:position w:val="8"/>
                <w:sz w:val="19"/>
              </w:rPr>
              <w:t>10 </w:t>
            </w:r>
            <w:r>
              <w:rPr/>
              <w:t>Symptomatic babesiosis is usually treated with a minimum ten day course of atovaquone and azithromycin which is extended to six weeks in the immunosuppressed, who may also experience relapses requiring multiple hospitalizations.</w:t>
            </w:r>
            <w:r>
              <w:rPr>
                <w:position w:val="8"/>
                <w:sz w:val="19"/>
              </w:rPr>
              <w:t>11 </w:t>
            </w:r>
            <w:r>
              <w:rPr/>
              <w:t>This is much longer than equivalent serious parasitic diseases such as malaria where the goal is a three-day regimen. In a recently published case series weekly Tafenoquine for at least six weeks in combination with standard of care cured 100% of immunosuppressed patients with relapsing babesiosis and the investigators stated in a press release that “Tafenoquine is going to make a huge difference, I think, in people who are severely immunocompromised.” </w:t>
            </w:r>
            <w:r>
              <w:rPr>
                <w:position w:val="8"/>
                <w:sz w:val="19"/>
              </w:rPr>
              <w:t>12</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Conclusions from Company-commissioned market research.</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4</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Previously, we had estimated the maximum prevalence of chronic babesiosis to be 1.01 million by multiplying the rate of Babesia coinfection in PTLDS patients (52%, from Parveen &amp; Bhanot, Pathogens 2019;8(3):117) by the highest estimate of the cumulative prevalence of PTLDS (1,994,189, from Delong et al. BMC Public Health 2019;19(1):352). However, since it was recently determined that only 41% of hospitalized babesiosis patients have Lyme as a coinfection (Ssentongo et al Open Forum Infect Dis 2024 Oct 8;11(10)) total prevalence might be as high as 2.46 million (divide 1.01 million by 41%). Our recent survey of 6,000 U.S. consumers suggested that 3 million U.S. adults have experience babesiosis based on 1.26% of responders reporting have received such a medical diagnosis from a healthcare provider. Based on molecular epidemiology studies we have sponsored, we have made the operational assumption that up to 20% of individuals with chronic fatigue lasting more than six months may be infected with Babesia parasites, and our recent consumer survey and claims studies indicated that the prevalence of chronic fatigue in the U.S. is approximately 10 million (thus there maybe 2 million individuals with persistent babesiosis).</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5</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Company-commissioned market research indicates there are medical insurance claims data representing approximately 40% of U.S. lives indicated a total of 9,520 cases of chronic babesiosis of at least 30 days duration over three years. Annual incidence is 9,520/3/40% = 7,933.</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6</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combined data from a 6,000-patient and a 300-prescriber survey conducted by an independent market research agency assuming regulatory labeling for Arakoda has been expanded to include babesiosis, and factoring in diagnostic screening data from our chronic babesiosis trial.</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7</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Same as Note 6, but inclusive of the effect of sensitive molecular tests like Igenx and Galaxy molecular screens becoming widely commercially available for patient care.</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8</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example, official Lyme cases were zero before the first case description in 1975, in 2010 the official Lyme case count was 30,158, but CDC now reports 476,000 cases per year based on insurance claims according to the Centers for Disease Control and Prevention.</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9</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estimate is based on the observations of Krugeler et al (</w:t>
            </w:r>
            <w:r>
              <w:rPr>
                <w:rFonts w:ascii="Times New Roman;Times;Serif" w:hAnsi="Times New Roman;Times;Serif"/>
                <w:i/>
              </w:rPr>
              <w:t>Emerg Infect Dis </w:t>
            </w:r>
            <w:r>
              <w:rPr>
                <w:rFonts w:ascii="Times New Roman;Times;Serif" w:hAnsi="Times New Roman;Times;Serif"/>
              </w:rPr>
              <w:t>2021;27:616-61) who reported that 476,000 cases of Lyme disease occur in U.S. states where babesiosis is endemic and Krause et. al. (JAMA 1996;275:1657-16602) who reported that 10% of Lyme disease patients are co-infected with babesiosis and that according to Ssentongo et al (</w:t>
            </w:r>
            <w:r>
              <w:rPr>
                <w:rFonts w:ascii="Times New Roman;Times;Serif" w:hAnsi="Times New Roman;Times;Serif"/>
                <w:i/>
              </w:rPr>
              <w:t>Open Forum Infect Dis</w:t>
            </w:r>
            <w:r>
              <w:rPr>
                <w:rFonts w:ascii="Times New Roman;Times;Serif" w:hAnsi="Times New Roman;Times;Serif"/>
              </w:rPr>
              <w:t> 2024 Oct 8;11(10):ofae504.doi:10.1093), approximately 40% of acute babesiosis patients are coinfected with Lyme disease (thus 476,000*10%/40% = 119,000 cases of babesiosis per year).</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10</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Bloch et al </w:t>
            </w:r>
            <w:r>
              <w:rPr>
                <w:rFonts w:ascii="Times New Roman;Times;Serif" w:hAnsi="Times New Roman;Times;Serif"/>
                <w:i/>
              </w:rPr>
              <w:t>Open Forum Infect Dis</w:t>
            </w:r>
            <w:r>
              <w:rPr>
                <w:rFonts w:ascii="Times New Roman;Times;Serif" w:hAnsi="Times New Roman;Times;Serif"/>
              </w:rPr>
              <w:t> 2022;9(11):ofac597.</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11</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According to IDSA guidelines.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12</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See Krause et al </w:t>
            </w:r>
            <w:r>
              <w:rPr>
                <w:rFonts w:ascii="Times New Roman;Times;Serif" w:hAnsi="Times New Roman;Times;Serif"/>
                <w:i/>
              </w:rPr>
              <w:t>Clin Infect Dis </w:t>
            </w:r>
            <w:r>
              <w:rPr>
                <w:rFonts w:ascii="Times New Roman;Times;Serif" w:hAnsi="Times New Roman;Times;Serif"/>
              </w:rPr>
              <w:t>2024; doi:10.1093/cid/ciae238 and https://ysph.yale.edu/news-article/antimalarial-drug-is-effective-against-tick-borne-infection-babesiosis/.</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Prevention of Tick-Borne Diseases</w:t>
            </w:r>
            <w:r>
              <w:rPr/>
              <w:t>. Post-exposure prophylaxis or early treatment with, respectively, a single dose or several week regimen of doxycycline following a tick-bite is a recognized indication to prevent the complications of Lyme disease. There may be more than 400,000 such tick bites in the United States requiring medical treatment each year. This estimate is based on the observation that approximately 50,000 tick bites are treated in U.S. hospital emergency rooms each year; however, this calculation represents only about 12% of actual treated tick bites based on observations from comparable ex-U.S. health systems.</w:t>
            </w:r>
            <w:r>
              <w:rPr>
                <w:position w:val="8"/>
                <w:sz w:val="19"/>
              </w:rPr>
              <w:t>13</w:t>
            </w:r>
            <w:r>
              <w:rPr/>
              <w:t> Unlike Lyme disease, there is no characteristic rash associated with early infection and no reliable diagnostic tests. Thus, an individual bitten by a tick cannot know whether they have also been infected with babesiosis. It is likely that a drug proven to be effective for this indication for babesiosis would also be used in conjunction with Lyme prophylaxis.</w:t>
            </w:r>
          </w:p>
        </w:tc>
      </w:tr>
    </w:tbl>
    <w:p>
      <w:pPr>
        <w:pStyle w:val="TextBody"/>
        <w:shd w:fill="FFFFFF" w:val="clear"/>
        <w:bidi w:val="0"/>
        <w:spacing w:before="0" w:after="0"/>
        <w:ind w:left="72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Veterinary Indications</w:t>
            </w:r>
            <w:r>
              <w:rPr/>
              <w:t>. Based on estimates from industry experts, there may be somewhere between several hundred and several thousand cases of canine babesiosis each year in the United States, and thousands more globally. Currently, standard of care treatment for babesiosis in dogs is a ten-day course of atovaquone and azithromycin, which costs about $1,350 out of pocket. A treatment course of Tafenoquine mirroring the human prophylactic dose in dogs might cost &lt; $300, offering a compelling alternative to standard of care. The additional resources required to generate enabling data for veterinary uses are much less expensive than human clinical trials, and we are already funding a pilot study at North Carolina State University related to this indication. Separately, the Company is exploring the potential utility of Tafenoquine to manage equine Theileria (a tick-borne disease related to babesiosis). Horses entering the United States are required to be tested prior to quarantine release and treated if positive.</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Viral Diseases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Celgosivir, a potential clinical candidate of 60P’s, has activity in a number of animal models of important viral diseases such as Dengue and RSV. According to the European CDC, Dengue is associated with at least 4.1 million cases globally.</w:t>
      </w:r>
      <w:r>
        <w:rPr>
          <w:rFonts w:ascii="Times New Roman;Times;Serif" w:hAnsi="Times New Roman;Times;Serif"/>
          <w:b w:val="false"/>
          <w:i w:val="false"/>
          <w:caps w:val="false"/>
          <w:smallCaps w:val="false"/>
          <w:position w:val="7"/>
          <w:sz w:val="16"/>
          <w:sz w:val="20"/>
          <w:bdr w:val="single" w:sz="12" w:space="1" w:color="000000"/>
        </w:rPr>
        <w:t>14</w:t>
      </w:r>
      <w:r>
        <w:rPr>
          <w:rFonts w:ascii="Times New Roman;Times;Serif" w:hAnsi="Times New Roman;Times;Serif"/>
          <w:b w:val="false"/>
          <w:i w:val="false"/>
          <w:caps w:val="false"/>
          <w:smallCaps w:val="false"/>
          <w:sz w:val="20"/>
          <w:bdr w:val="single" w:sz="12" w:space="1" w:color="000000"/>
        </w:rPr>
        <w:t> And, according to the U.S. CDC, RSV is responsible for up to 240,000 hospitalizations in children less than five years of age and adults greater than 65 years of age in the United States each year.</w:t>
      </w:r>
      <w:r>
        <w:rPr>
          <w:rFonts w:ascii="Times New Roman;Times;Serif" w:hAnsi="Times New Roman;Times;Serif"/>
          <w:b w:val="false"/>
          <w:i w:val="false"/>
          <w:caps w:val="false"/>
          <w:smallCaps w:val="false"/>
          <w:position w:val="7"/>
          <w:sz w:val="16"/>
          <w:sz w:val="20"/>
          <w:bdr w:val="single" w:sz="12" w:space="1" w:color="000000"/>
        </w:rPr>
        <w:t>15 </w:t>
      </w:r>
      <w:r>
        <w:rPr>
          <w:rFonts w:ascii="Times New Roman;Times;Serif" w:hAnsi="Times New Roman;Times;Serif"/>
          <w:b w:val="false"/>
          <w:i w:val="false"/>
          <w:caps w:val="false"/>
          <w:smallCaps w:val="false"/>
          <w:sz w:val="20"/>
          <w:bdr w:val="single" w:sz="12" w:space="1" w:color="000000"/>
        </w:rPr>
        <w:t>As outlined in the “</w:t>
      </w:r>
      <w:r>
        <w:rPr>
          <w:rFonts w:ascii="Times New Roman;Times;Serif" w:hAnsi="Times New Roman;Times;Serif"/>
          <w:b w:val="false"/>
          <w:i/>
          <w:caps w:val="false"/>
          <w:smallCaps w:val="false"/>
          <w:sz w:val="20"/>
          <w:bdr w:val="single" w:sz="12" w:space="1" w:color="000000"/>
        </w:rPr>
        <w:t>Strategy</w:t>
      </w:r>
      <w:r>
        <w:rPr>
          <w:rFonts w:ascii="Times New Roman;Times;Serif" w:hAnsi="Times New Roman;Times;Serif"/>
          <w:b w:val="false"/>
          <w:i w:val="false"/>
          <w:caps w:val="false"/>
          <w:smallCaps w:val="false"/>
          <w:sz w:val="20"/>
          <w:bdr w:val="single" w:sz="12" w:space="1" w:color="000000"/>
        </w:rPr>
        <w:t>” section below, we plan to make any development decisions regarding Celgosivir after the potential commercialization opportunity for Australian Chestnut Extract comes into view.</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4675" w:type="dxa"/>
        <w:jc w:val="left"/>
        <w:tblInd w:w="0" w:type="dxa"/>
        <w:tblLayout w:type="fixed"/>
        <w:tblCellMar>
          <w:top w:w="0" w:type="dxa"/>
          <w:left w:w="0" w:type="dxa"/>
          <w:bottom w:w="0" w:type="dxa"/>
          <w:right w:w="0" w:type="dxa"/>
        </w:tblCellMar>
      </w:tblPr>
      <w:tblGrid>
        <w:gridCol w:w="215"/>
        <w:gridCol w:w="446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13</w:t>
            </w:r>
          </w:p>
        </w:tc>
        <w:tc>
          <w:tcPr>
            <w:tcW w:w="4460" w:type="dxa"/>
            <w:tcBorders/>
            <w:vAlign w:val="center"/>
          </w:tcPr>
          <w:p>
            <w:pPr>
              <w:pStyle w:val="TableContents"/>
              <w:bidi w:val="0"/>
              <w:spacing w:before="0" w:after="283"/>
              <w:jc w:val="both"/>
              <w:rPr>
                <w:sz w:val="20"/>
              </w:rPr>
            </w:pPr>
            <w:r>
              <w:rPr>
                <w:sz w:val="20"/>
              </w:rPr>
              <w:t>Marx et. al., MMWR 2021;70:612-616.</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14</w:t>
            </w:r>
          </w:p>
        </w:tc>
        <w:tc>
          <w:tcPr>
            <w:tcW w:w="4460" w:type="dxa"/>
            <w:tcBorders/>
            <w:vAlign w:val="center"/>
          </w:tcPr>
          <w:p>
            <w:pPr>
              <w:pStyle w:val="TableContents"/>
              <w:bidi w:val="0"/>
              <w:spacing w:before="0" w:after="283"/>
              <w:jc w:val="both"/>
              <w:rPr>
                <w:sz w:val="20"/>
              </w:rPr>
            </w:pPr>
            <w:r>
              <w:rPr>
                <w:sz w:val="20"/>
              </w:rPr>
              <w:t>According to the European Center for Disease Control.</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15</w:t>
            </w:r>
          </w:p>
        </w:tc>
        <w:tc>
          <w:tcPr>
            <w:tcW w:w="4460" w:type="dxa"/>
            <w:tcBorders/>
            <w:vAlign w:val="center"/>
          </w:tcPr>
          <w:p>
            <w:pPr>
              <w:pStyle w:val="TableContents"/>
              <w:bidi w:val="0"/>
              <w:spacing w:before="0" w:after="283"/>
              <w:jc w:val="both"/>
              <w:rPr>
                <w:sz w:val="20"/>
              </w:rPr>
            </w:pPr>
            <w:r>
              <w:rPr>
                <w:sz w:val="20"/>
              </w:rPr>
              <w:t>According to the U.S. Centers for Disease Control.</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More information about our products is provided in the next section, and the status of various development efforts for the above-mentioned diseases is outlined in Figure A, below.</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bdr w:val="single" w:sz="12" w:space="1" w:color="000000"/>
        </w:rPr>
      </w:pPr>
      <w:r>
        <w:rPr>
          <w:rFonts w:ascii="Times New Roman;Times;Serif" w:hAnsi="Times New Roman;Times;Serif"/>
          <w:b w:val="false"/>
          <w:i w:val="false"/>
          <w:caps w:val="false"/>
          <w:smallCaps w:val="false"/>
          <w:sz w:val="20"/>
          <w:u w:val="single"/>
          <w:bdr w:val="single" w:sz="12" w:space="1" w:color="000000"/>
        </w:rPr>
        <w:t>Figure A</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943600" cy="3190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190875"/>
                    </a:xfrm>
                    <a:prstGeom prst="rect">
                      <a:avLst/>
                    </a:prstGeom>
                  </pic:spPr>
                </pic:pic>
              </a:graphicData>
            </a:graphic>
          </wp:inline>
        </w:drawing>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Products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Arakoda (Tafenoquine) for malaria prevention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entered into a cooperative research and development agreement with the United States Army in 2014 to complete development of Arakoda for prevention of malaria.</w:t>
      </w:r>
      <w:r>
        <w:rPr>
          <w:rFonts w:ascii="Times New Roman;Times;Serif" w:hAnsi="Times New Roman;Times;Serif"/>
          <w:b w:val="false"/>
          <w:i w:val="false"/>
          <w:caps w:val="false"/>
          <w:smallCaps w:val="false"/>
          <w:position w:val="7"/>
          <w:sz w:val="16"/>
          <w:sz w:val="20"/>
          <w:bdr w:val="single" w:sz="12" w:space="1" w:color="000000"/>
        </w:rPr>
        <w:t>16</w:t>
      </w:r>
      <w:r>
        <w:rPr>
          <w:rFonts w:ascii="Times New Roman;Times;Serif" w:hAnsi="Times New Roman;Times;Serif"/>
          <w:b w:val="false"/>
          <w:i w:val="false"/>
          <w:caps w:val="false"/>
          <w:smallCaps w:val="false"/>
          <w:sz w:val="20"/>
          <w:bdr w:val="single" w:sz="12" w:space="1" w:color="000000"/>
        </w:rPr>
        <w:t> With the U.S. Army, and other private sector entities as partners, we coordinated the execution of two clinical trials, development of a full manufacturing package, gap-filling non-clinical studies, compilation of a full regulatory dossier, successful defense of our program at an FDA advisory committee meeting and submitted a new drug application (“NDA”) to the FDA in 2018. The history of that collaboration has been publicly communicated by the U.S. Army.</w:t>
      </w:r>
      <w:r>
        <w:rPr>
          <w:rFonts w:ascii="Times New Roman;Times;Serif" w:hAnsi="Times New Roman;Times;Serif"/>
          <w:b w:val="false"/>
          <w:i w:val="false"/>
          <w:caps w:val="false"/>
          <w:smallCaps w:val="false"/>
          <w:position w:val="7"/>
          <w:sz w:val="16"/>
          <w:sz w:val="20"/>
          <w:bdr w:val="single" w:sz="12" w:space="1" w:color="000000"/>
        </w:rPr>
        <w:t>17</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position w:val="7"/>
                <w:sz w:val="16"/>
                <w:sz w:val="20"/>
              </w:rPr>
            </w:pPr>
            <w:r>
              <w:rPr>
                <w:position w:val="7"/>
                <w:sz w:val="16"/>
                <w:sz w:val="20"/>
              </w:rPr>
              <w:t>16</w:t>
            </w:r>
          </w:p>
        </w:tc>
        <w:tc>
          <w:tcPr>
            <w:tcW w:w="9990" w:type="dxa"/>
            <w:tcBorders/>
            <w:vAlign w:val="center"/>
          </w:tcPr>
          <w:p>
            <w:pPr>
              <w:pStyle w:val="TableContents"/>
              <w:bidi w:val="0"/>
              <w:spacing w:before="0" w:after="283"/>
              <w:jc w:val="both"/>
              <w:rPr>
                <w:sz w:val="20"/>
              </w:rPr>
            </w:pPr>
            <w:r>
              <w:rPr>
                <w:sz w:val="20"/>
              </w:rPr>
              <w:t>In 2014, we signed a cooperative research and development agreement with the United States Army Medical and Materiel Development Activity (Agreement W81XWH-14-0313). Under this agreement, we agreed to submit an NDA for Tafenoquine to the FDA (as Arakoda), while the US Army agreed to finance the bulk of the necessary development activities in support of that goal.</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17</w:t>
            </w:r>
          </w:p>
        </w:tc>
        <w:tc>
          <w:tcPr>
            <w:tcW w:w="9990" w:type="dxa"/>
            <w:tcBorders/>
            <w:vAlign w:val="center"/>
          </w:tcPr>
          <w:p>
            <w:pPr>
              <w:pStyle w:val="TableContents"/>
              <w:bidi w:val="0"/>
              <w:spacing w:before="0" w:after="283"/>
              <w:jc w:val="both"/>
              <w:rPr>
                <w:sz w:val="20"/>
              </w:rPr>
            </w:pPr>
            <w:r>
              <w:rPr>
                <w:sz w:val="20"/>
              </w:rPr>
              <w:t>Zottig et al Military Medicine 2020; 185 (S1): 687.</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and Australia’s medicinal regulatory agency, the Therapeutic Goods Administration, subsequently approved Arakoda (brand name in the U.S.) and Kodatef (brand name in Australia), respectively, for prevention of malaria in travelers in 2018. Prescribing information and guidance for patients can be found at </w:t>
      </w:r>
      <w:r>
        <w:rPr>
          <w:rFonts w:ascii="Times New Roman;Times;Serif" w:hAnsi="Times New Roman;Times;Serif"/>
          <w:b w:val="false"/>
          <w:i/>
          <w:caps w:val="false"/>
          <w:smallCaps w:val="false"/>
          <w:sz w:val="20"/>
          <w:bdr w:val="single" w:sz="12" w:space="1" w:color="000000"/>
        </w:rPr>
        <w:t>www.arakoda.com</w:t>
      </w:r>
      <w:r>
        <w:rPr>
          <w:rFonts w:ascii="Times New Roman;Times;Serif" w:hAnsi="Times New Roman;Times;Serif"/>
          <w:b w:val="false"/>
          <w:i w:val="false"/>
          <w:caps w:val="false"/>
          <w:smallCaps w:val="false"/>
          <w:sz w:val="20"/>
          <w:bdr w:val="single" w:sz="12" w:space="1" w:color="000000"/>
        </w:rPr>
        <w:t>. The features and benefits of Tafenoquine for malaria prophylaxis, some of which have been noted by third-party experts, include: convenient once weekly dosing following a three-day load; the absence of reports of drug resistance during malaria prophylaxis; activity against liver and blood stages of malaria as well as both the major malaria species (</w:t>
      </w:r>
      <w:r>
        <w:rPr>
          <w:rFonts w:ascii="Times New Roman;Times;Serif" w:hAnsi="Times New Roman;Times;Serif"/>
          <w:b w:val="false"/>
          <w:i/>
          <w:caps w:val="false"/>
          <w:smallCaps w:val="false"/>
          <w:sz w:val="20"/>
          <w:bdr w:val="single" w:sz="12" w:space="1" w:color="000000"/>
        </w:rPr>
        <w:t>Plasmodium vivax</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Plasmodium falciparum</w:t>
      </w:r>
      <w:r>
        <w:rPr>
          <w:rFonts w:ascii="Times New Roman;Times;Serif" w:hAnsi="Times New Roman;Times;Serif"/>
          <w:b w:val="false"/>
          <w:i w:val="false"/>
          <w:caps w:val="false"/>
          <w:smallCaps w:val="false"/>
          <w:sz w:val="20"/>
          <w:bdr w:val="single" w:sz="12" w:space="1" w:color="000000"/>
        </w:rPr>
        <w:t>); absence of any black-box safety warnings; good tolerability, including in women and individuals with prior psychiatric medical history; and a comparable adverse event rate to placebo with up to 12 months continuous dosing.</w:t>
      </w:r>
      <w:r>
        <w:rPr>
          <w:rFonts w:ascii="Times New Roman;Times;Serif" w:hAnsi="Times New Roman;Times;Serif"/>
          <w:b w:val="false"/>
          <w:i w:val="false"/>
          <w:caps w:val="false"/>
          <w:smallCaps w:val="false"/>
          <w:position w:val="7"/>
          <w:sz w:val="16"/>
          <w:sz w:val="20"/>
          <w:bdr w:val="single" w:sz="12" w:space="1" w:color="000000"/>
        </w:rPr>
        <w:t>18</w:t>
      </w:r>
      <w:r>
        <w:rPr>
          <w:rFonts w:ascii="Times New Roman;Times;Serif" w:hAnsi="Times New Roman;Times;Serif"/>
          <w:b w:val="false"/>
          <w:i w:val="false"/>
          <w:caps w:val="false"/>
          <w:smallCaps w:val="false"/>
          <w:sz w:val="20"/>
          <w:bdr w:val="single" w:sz="12" w:space="1" w:color="000000"/>
        </w:rPr>
        <w:t> Tafenoquine entered the commercial supply chains in the U.S. and Australia in the third quarter of 2019.</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only limitation of Arakoda is the requirement for a G6PD test prior to administration.</w:t>
      </w:r>
      <w:r>
        <w:rPr>
          <w:rFonts w:ascii="Times New Roman;Times;Serif" w:hAnsi="Times New Roman;Times;Serif"/>
          <w:b w:val="false"/>
          <w:i w:val="false"/>
          <w:caps w:val="false"/>
          <w:smallCaps w:val="false"/>
          <w:position w:val="7"/>
          <w:sz w:val="16"/>
          <w:sz w:val="20"/>
          <w:bdr w:val="single" w:sz="12" w:space="1" w:color="000000"/>
        </w:rPr>
        <w:t>19</w:t>
      </w:r>
      <w:r>
        <w:rPr>
          <w:rFonts w:ascii="Times New Roman;Times;Serif" w:hAnsi="Times New Roman;Times;Serif"/>
          <w:b w:val="false"/>
          <w:i w:val="false"/>
          <w:caps w:val="false"/>
          <w:smallCaps w:val="false"/>
          <w:sz w:val="20"/>
          <w:bdr w:val="single" w:sz="12" w:space="1" w:color="000000"/>
        </w:rPr>
        <w:t> The G6PD test must be administered to a prospective patient prior to administration of Arakoda in order to prevent the potential occurrence of hemolytic anemia in individuals with G6PD deficiency.</w:t>
      </w:r>
      <w:r>
        <w:rPr>
          <w:rFonts w:ascii="Times New Roman;Times;Serif" w:hAnsi="Times New Roman;Times;Serif"/>
          <w:b w:val="false"/>
          <w:i w:val="false"/>
          <w:caps w:val="false"/>
          <w:smallCaps w:val="false"/>
          <w:position w:val="7"/>
          <w:sz w:val="16"/>
          <w:sz w:val="20"/>
          <w:bdr w:val="single" w:sz="12" w:space="1" w:color="000000"/>
        </w:rPr>
        <w:t>20</w:t>
      </w:r>
      <w:r>
        <w:rPr>
          <w:rFonts w:ascii="Times New Roman;Times;Serif" w:hAnsi="Times New Roman;Times;Serif"/>
          <w:b w:val="false"/>
          <w:i w:val="false"/>
          <w:caps w:val="false"/>
          <w:smallCaps w:val="false"/>
          <w:sz w:val="20"/>
          <w:bdr w:val="single" w:sz="12" w:space="1" w:color="000000"/>
        </w:rPr>
        <w:t> G6PD is one of the most common enzyme deficiencies and is implicated in hemolysis following administration/ingestion of a variety of oxidant drugs/food. G6PD must also be ruled out as a possible cause when diagnosing neonatal jaundice. As a consequence, G6PD testing is widely available in the United States through commercial pathology service providers (e.g., Labcorp, Quest Diagnostics, etc.). Although these tests have a turn-around time of up to 72 hours, the test needs only to be administered once. Thus, existing U.S. testing infrastructure is sufficient to support the FDA-approved use of the product (malaria prevention) by members of the armed forces (who automatically have a G6PD test when they enlist), civilian travelers with a long planning horizon, or repeat travelers.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Tafenoquine for Other (Infectious) Diseases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pandemic, we also worked with NIH to evaluate the utility of Tafenoquine as an antifungal. We, and the NIH, found that Tafenoquine exhibits a Broad Spectrum of Activity in cell culture against </w:t>
      </w:r>
      <w:r>
        <w:rPr>
          <w:rFonts w:ascii="Times New Roman;Times;Serif" w:hAnsi="Times New Roman;Times;Serif"/>
          <w:b w:val="false"/>
          <w:i/>
          <w:caps w:val="false"/>
          <w:smallCaps w:val="false"/>
          <w:sz w:val="20"/>
          <w:bdr w:val="single" w:sz="12" w:space="1" w:color="000000"/>
        </w:rPr>
        <w:t>Candida</w:t>
      </w:r>
      <w:r>
        <w:rPr>
          <w:rFonts w:ascii="Times New Roman;Times;Serif" w:hAnsi="Times New Roman;Times;Serif"/>
          <w:b w:val="false"/>
          <w:i w:val="false"/>
          <w:caps w:val="false"/>
          <w:smallCaps w:val="false"/>
          <w:sz w:val="20"/>
          <w:bdr w:val="single" w:sz="12" w:space="1" w:color="000000"/>
        </w:rPr>
        <w:t> and other yeast strains via a different Mode of Action than traditional antifungals and also exhibits antifungal activity against some fungal strains at clinically relevant doses in animal models.</w:t>
      </w:r>
      <w:r>
        <w:rPr>
          <w:rFonts w:ascii="Times New Roman;Times;Serif" w:hAnsi="Times New Roman;Times;Serif"/>
          <w:b w:val="false"/>
          <w:i w:val="false"/>
          <w:caps w:val="false"/>
          <w:smallCaps w:val="false"/>
          <w:position w:val="7"/>
          <w:sz w:val="16"/>
          <w:sz w:val="20"/>
          <w:bdr w:val="single" w:sz="12" w:space="1" w:color="000000"/>
        </w:rPr>
        <w:t>21 </w:t>
      </w:r>
      <w:r>
        <w:rPr>
          <w:rFonts w:ascii="Times New Roman;Times;Serif" w:hAnsi="Times New Roman;Times;Serif"/>
          <w:b w:val="false"/>
          <w:i w:val="false"/>
          <w:caps w:val="false"/>
          <w:smallCaps w:val="false"/>
          <w:sz w:val="20"/>
          <w:bdr w:val="single" w:sz="12" w:space="1" w:color="000000"/>
        </w:rPr>
        <w:t>Our work followed Legacy Studies that show Tafenoquine is effective for treatment and prevention of </w:t>
      </w:r>
      <w:r>
        <w:rPr>
          <w:rFonts w:ascii="Times New Roman;Times;Serif" w:hAnsi="Times New Roman;Times;Serif"/>
          <w:b w:val="false"/>
          <w:i/>
          <w:caps w:val="false"/>
          <w:smallCaps w:val="false"/>
          <w:sz w:val="20"/>
          <w:bdr w:val="single" w:sz="12" w:space="1" w:color="000000"/>
        </w:rPr>
        <w:t>Pneumocystis</w:t>
      </w:r>
      <w:r>
        <w:rPr>
          <w:rFonts w:ascii="Times New Roman;Times;Serif" w:hAnsi="Times New Roman;Times;Serif"/>
          <w:b w:val="false"/>
          <w:i w:val="false"/>
          <w:caps w:val="false"/>
          <w:smallCaps w:val="false"/>
          <w:sz w:val="20"/>
          <w:bdr w:val="single" w:sz="12" w:space="1" w:color="000000"/>
        </w:rPr>
        <w:t> pneumonia in animal models.</w:t>
      </w:r>
      <w:r>
        <w:rPr>
          <w:rFonts w:ascii="Times New Roman;Times;Serif" w:hAnsi="Times New Roman;Times;Serif"/>
          <w:b w:val="false"/>
          <w:i w:val="false"/>
          <w:caps w:val="false"/>
          <w:smallCaps w:val="false"/>
          <w:position w:val="7"/>
          <w:sz w:val="16"/>
          <w:sz w:val="20"/>
          <w:bdr w:val="single" w:sz="12" w:space="1" w:color="000000"/>
        </w:rPr>
        <w:t>22</w:t>
      </w:r>
      <w:r>
        <w:rPr>
          <w:rFonts w:ascii="Times New Roman;Times;Serif" w:hAnsi="Times New Roman;Times;Serif"/>
          <w:b w:val="false"/>
          <w:i w:val="false"/>
          <w:caps w:val="false"/>
          <w:smallCaps w:val="false"/>
          <w:sz w:val="20"/>
          <w:bdr w:val="single" w:sz="12" w:space="1" w:color="000000"/>
        </w:rPr>
        <w:t> In 2025 we tested the hypothesis in animal models that Tafenoquine might act synergistically with fluconazole against </w:t>
      </w:r>
      <w:r>
        <w:rPr>
          <w:rFonts w:ascii="Times New Roman;Times;Serif" w:hAnsi="Times New Roman;Times;Serif"/>
          <w:b w:val="false"/>
          <w:i/>
          <w:caps w:val="false"/>
          <w:smallCaps w:val="false"/>
          <w:sz w:val="20"/>
          <w:bdr w:val="single" w:sz="12" w:space="1" w:color="000000"/>
        </w:rPr>
        <w:t>Candida auris</w:t>
      </w:r>
      <w:r>
        <w:rPr>
          <w:rFonts w:ascii="Times New Roman;Times;Serif" w:hAnsi="Times New Roman;Times;Serif"/>
          <w:b w:val="false"/>
          <w:i w:val="false"/>
          <w:caps w:val="false"/>
          <w:smallCaps w:val="false"/>
          <w:sz w:val="20"/>
          <w:bdr w:val="single" w:sz="12" w:space="1" w:color="000000"/>
        </w:rPr>
        <w:t>. Those data are currently being prepared for publication but suggest that Tafenoquine might only be applicable for adjunctive use, and thus a formal clinical development program is not warranted.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Tafenoquine monotherapy, or use in combination with other antibabesial medications, clears and eradicates </w:t>
      </w:r>
      <w:r>
        <w:rPr>
          <w:rFonts w:ascii="Times New Roman;Times;Serif" w:hAnsi="Times New Roman;Times;Serif"/>
          <w:b w:val="false"/>
          <w:i/>
          <w:caps w:val="false"/>
          <w:smallCaps w:val="false"/>
          <w:sz w:val="20"/>
          <w:bdr w:val="single" w:sz="12" w:space="1" w:color="000000"/>
        </w:rPr>
        <w:t>Babesia </w:t>
      </w:r>
      <w:r>
        <w:rPr>
          <w:rFonts w:ascii="Times New Roman;Times;Serif" w:hAnsi="Times New Roman;Times;Serif"/>
          <w:b w:val="false"/>
          <w:i w:val="false"/>
          <w:caps w:val="false"/>
          <w:smallCaps w:val="false"/>
          <w:sz w:val="20"/>
          <w:bdr w:val="single" w:sz="12" w:space="1" w:color="000000"/>
        </w:rPr>
        <w:t>infections, respectively, in both immunocompetent and immunocompromised animal models of babesiosis (tick borne red blood cell infections).</w:t>
      </w:r>
      <w:r>
        <w:rPr>
          <w:rFonts w:ascii="Times New Roman;Times;Serif" w:hAnsi="Times New Roman;Times;Serif"/>
          <w:b w:val="false"/>
          <w:i w:val="false"/>
          <w:caps w:val="false"/>
          <w:smallCaps w:val="false"/>
          <w:position w:val="7"/>
          <w:sz w:val="16"/>
          <w:sz w:val="20"/>
          <w:bdr w:val="single" w:sz="12" w:space="1" w:color="000000"/>
        </w:rPr>
        <w:t>23</w:t>
      </w:r>
      <w:r>
        <w:rPr>
          <w:rFonts w:ascii="Times New Roman;Times;Serif" w:hAnsi="Times New Roman;Times;Serif"/>
          <w:b w:val="false"/>
          <w:i w:val="false"/>
          <w:caps w:val="false"/>
          <w:smallCaps w:val="false"/>
          <w:sz w:val="20"/>
          <w:bdr w:val="single" w:sz="12" w:space="1" w:color="000000"/>
        </w:rPr>
        <w:t> In up to 100% of cases, Tafenoquine (at a higher weekly dose than the Arakoda regimen) administered in combination with antibabesial drugs with treatment sustained until consecutive negative PCRs were observed, following prior failure of conventional antibiotics in immunosuppressed babesiosis patients, resulted in cure.</w:t>
      </w:r>
      <w:r>
        <w:rPr>
          <w:rFonts w:ascii="Times New Roman;Times;Serif" w:hAnsi="Times New Roman;Times;Serif"/>
          <w:b w:val="false"/>
          <w:i w:val="false"/>
          <w:caps w:val="false"/>
          <w:smallCaps w:val="false"/>
          <w:position w:val="7"/>
          <w:sz w:val="16"/>
          <w:sz w:val="20"/>
          <w:bdr w:val="single" w:sz="12" w:space="1" w:color="000000"/>
        </w:rPr>
        <w:t>24 </w:t>
      </w:r>
      <w:r>
        <w:rPr>
          <w:rFonts w:ascii="Times New Roman;Times;Serif" w:hAnsi="Times New Roman;Times;Serif"/>
          <w:b w:val="false"/>
          <w:i w:val="false"/>
          <w:caps w:val="false"/>
          <w:smallCaps w:val="false"/>
          <w:sz w:val="20"/>
          <w:bdr w:val="single" w:sz="12" w:space="1" w:color="000000"/>
        </w:rPr>
        <w:t>In our expanded access trial (see “</w:t>
      </w:r>
      <w:r>
        <w:rPr>
          <w:rFonts w:ascii="Times New Roman;Times;Serif" w:hAnsi="Times New Roman;Times;Serif"/>
          <w:b w:val="false"/>
          <w:i/>
          <w:caps w:val="false"/>
          <w:smallCaps w:val="false"/>
          <w:sz w:val="20"/>
          <w:bdr w:val="single" w:sz="12" w:space="1" w:color="000000"/>
        </w:rPr>
        <w:t>Strategy</w:t>
      </w:r>
      <w:r>
        <w:rPr>
          <w:rFonts w:ascii="Times New Roman;Times;Serif" w:hAnsi="Times New Roman;Times;Serif"/>
          <w:b w:val="false"/>
          <w:i w:val="false"/>
          <w:caps w:val="false"/>
          <w:smallCaps w:val="false"/>
          <w:sz w:val="20"/>
          <w:bdr w:val="single" w:sz="12" w:space="1" w:color="000000"/>
        </w:rPr>
        <w:t>” section), we have observed that the Arakoda regimen of Tafenoquine administered concurrently with a combination of existing drugs including atovaquone cured all three relapsing immunosuppressed patients enrolled in the study.</w:t>
      </w:r>
      <w:r>
        <w:rPr>
          <w:rFonts w:ascii="Times New Roman;Times;Serif" w:hAnsi="Times New Roman;Times;Serif"/>
          <w:b w:val="false"/>
          <w:i w:val="false"/>
          <w:caps w:val="false"/>
          <w:smallCaps w:val="false"/>
          <w:position w:val="7"/>
          <w:sz w:val="16"/>
          <w:sz w:val="20"/>
          <w:bdr w:val="single" w:sz="12" w:space="1" w:color="000000"/>
        </w:rPr>
        <w:t> </w:t>
      </w:r>
      <w:r>
        <w:rPr>
          <w:rFonts w:ascii="Times New Roman;Times;Serif" w:hAnsi="Times New Roman;Times;Serif"/>
          <w:b w:val="false"/>
          <w:i w:val="false"/>
          <w:caps w:val="false"/>
          <w:smallCaps w:val="false"/>
          <w:sz w:val="20"/>
          <w:bdr w:val="single" w:sz="12" w:space="1" w:color="000000"/>
        </w:rPr>
        <w:t>Tafenoquine is also increasingly being utilized by Lyme disease prescribers to manage symptoms of Chronic Babesiosis. Consequently, we believe that (i) if combined with standard of care products, Tafenoquine has the potential to accelerate parasite clearance and reduce the duration of illness and treatment with antibiotic therapy in immunosuppressed patients hospitalized with severe illness, (ii) once appropriate clinical studies have been conducted, it is likely that Tafenoquine would be quickly embraced for post-exposure prophylaxis of babesiosis in patients with tick bites, and (iii) Tafenoquine could become the leading treatment for Chronic Babesiosis. Clinical trial(s) to prove safety and efficacy, and approval by FDA and other regulators, would be required before Tafenoquine could be marketed for these indications.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18</w:t>
            </w:r>
          </w:p>
        </w:tc>
        <w:tc>
          <w:tcPr>
            <w:tcW w:w="9990" w:type="dxa"/>
            <w:tcBorders/>
            <w:vAlign w:val="center"/>
          </w:tcPr>
          <w:p>
            <w:pPr>
              <w:pStyle w:val="TableContents"/>
              <w:bidi w:val="0"/>
              <w:spacing w:before="0" w:after="283"/>
              <w:jc w:val="both"/>
              <w:rPr>
                <w:sz w:val="20"/>
              </w:rPr>
            </w:pPr>
            <w:r>
              <w:rPr>
                <w:sz w:val="20"/>
              </w:rPr>
              <w:t>Tan and Hwang Journal of Travel Medicine, 2018, 1–2; Baird Journal of Travel Medicine 2018:, 1–13; Schlagenhauf et al Travel Medicine and Infectious Disease 2022; 46:102268; See Arakoda prescribing information at www.arakoda.com; McCarthy et al CID 2019:69:480-486; Dow et al. Malar J (2015) 14:473; Dow et al. Malaria Journal 2014, 13:49; Novitt-Moreno et al Travel Med Infect Dis 2022 Jan-Feb;45:102211.</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19</w:t>
            </w:r>
          </w:p>
        </w:tc>
        <w:tc>
          <w:tcPr>
            <w:tcW w:w="9990" w:type="dxa"/>
            <w:tcBorders/>
            <w:vAlign w:val="center"/>
          </w:tcPr>
          <w:p>
            <w:pPr>
              <w:pStyle w:val="TableContents"/>
              <w:bidi w:val="0"/>
              <w:spacing w:before="0" w:after="283"/>
              <w:jc w:val="both"/>
              <w:rPr>
                <w:sz w:val="20"/>
              </w:rPr>
            </w:pPr>
            <w:r>
              <w:rPr>
                <w:sz w:val="20"/>
              </w:rPr>
              <w:t>According to literature cited in Footnote 18.</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20</w:t>
            </w:r>
          </w:p>
        </w:tc>
        <w:tc>
          <w:tcPr>
            <w:tcW w:w="9990" w:type="dxa"/>
            <w:tcBorders/>
            <w:vAlign w:val="center"/>
          </w:tcPr>
          <w:p>
            <w:pPr>
              <w:pStyle w:val="TableContents"/>
              <w:bidi w:val="0"/>
              <w:spacing w:before="0" w:after="283"/>
              <w:jc w:val="both"/>
              <w:rPr>
                <w:sz w:val="20"/>
              </w:rPr>
            </w:pPr>
            <w:r>
              <w:rPr>
                <w:sz w:val="20"/>
              </w:rPr>
              <w:t>According to literature cited in Footnote 18.</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21</w:t>
            </w:r>
          </w:p>
        </w:tc>
        <w:tc>
          <w:tcPr>
            <w:tcW w:w="9990" w:type="dxa"/>
            <w:tcBorders/>
            <w:vAlign w:val="center"/>
          </w:tcPr>
          <w:p>
            <w:pPr>
              <w:pStyle w:val="TableContents"/>
              <w:bidi w:val="0"/>
              <w:spacing w:before="0" w:after="283"/>
              <w:jc w:val="both"/>
              <w:rPr>
                <w:sz w:val="20"/>
              </w:rPr>
            </w:pPr>
            <w:r>
              <w:rPr>
                <w:sz w:val="20"/>
              </w:rPr>
              <w:t>Dow and Smith, New Microbe and New Infect 2022; 45: 100964.</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22</w:t>
            </w:r>
          </w:p>
        </w:tc>
        <w:tc>
          <w:tcPr>
            <w:tcW w:w="9990" w:type="dxa"/>
            <w:tcBorders/>
            <w:vAlign w:val="center"/>
          </w:tcPr>
          <w:p>
            <w:pPr>
              <w:pStyle w:val="TableContents"/>
              <w:bidi w:val="0"/>
              <w:spacing w:before="0" w:after="283"/>
              <w:jc w:val="both"/>
              <w:rPr>
                <w:sz w:val="20"/>
              </w:rPr>
            </w:pPr>
            <w:r>
              <w:rPr>
                <w:sz w:val="20"/>
              </w:rPr>
              <w:t>Queener et al Journal of Infectious Diseases 1992;165:764-8).</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23</w:t>
            </w:r>
          </w:p>
        </w:tc>
        <w:tc>
          <w:tcPr>
            <w:tcW w:w="9990" w:type="dxa"/>
            <w:tcBorders/>
            <w:vAlign w:val="center"/>
          </w:tcPr>
          <w:p>
            <w:pPr>
              <w:pStyle w:val="TableContents"/>
              <w:bidi w:val="0"/>
              <w:spacing w:before="0" w:after="283"/>
              <w:jc w:val="both"/>
              <w:rPr>
                <w:sz w:val="20"/>
              </w:rPr>
            </w:pPr>
            <w:r>
              <w:rPr>
                <w:sz w:val="20"/>
              </w:rPr>
              <w:t>Liu et al. Antimicrobial Agents Chemo 2021;65:e00204-21, Marcos et al. IDCases 2022;27:e01460; Rogers et al. Clin Infect Dis. 2022 Jun 10:ciac473, Prasad and Wormsner. Pathogens 2022;11:1015.</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24</w:t>
            </w:r>
          </w:p>
        </w:tc>
        <w:tc>
          <w:tcPr>
            <w:tcW w:w="9990" w:type="dxa"/>
            <w:tcBorders/>
            <w:vAlign w:val="center"/>
          </w:tcPr>
          <w:p>
            <w:pPr>
              <w:pStyle w:val="TableContents"/>
              <w:bidi w:val="0"/>
              <w:spacing w:before="0" w:after="283"/>
              <w:jc w:val="both"/>
              <w:rPr>
                <w:sz w:val="20"/>
              </w:rPr>
            </w:pPr>
            <w:r>
              <w:rPr>
                <w:sz w:val="20"/>
              </w:rPr>
              <w:t>Krause et al </w:t>
            </w:r>
            <w:r>
              <w:rPr>
                <w:i/>
                <w:sz w:val="20"/>
              </w:rPr>
              <w:t>Clin Infect Dis</w:t>
            </w:r>
            <w:r>
              <w:rPr>
                <w:sz w:val="20"/>
              </w:rPr>
              <w:t> 2024; doi:10.1093/cid/ciae238.</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Celgosivir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Celgosivir is a host targeted glucosidase inhibitor that was developed separately by other sponsors for HIV then for hepatitis C.</w:t>
      </w:r>
      <w:r>
        <w:rPr>
          <w:rFonts w:ascii="Times New Roman;Times;Serif" w:hAnsi="Times New Roman;Times;Serif"/>
          <w:b w:val="false"/>
          <w:i w:val="false"/>
          <w:caps w:val="false"/>
          <w:smallCaps w:val="false"/>
          <w:position w:val="7"/>
          <w:sz w:val="16"/>
          <w:sz w:val="20"/>
          <w:bdr w:val="single" w:sz="12" w:space="1" w:color="000000"/>
        </w:rPr>
        <w:t>25 </w:t>
      </w:r>
      <w:r>
        <w:rPr>
          <w:rFonts w:ascii="Times New Roman;Times;Serif" w:hAnsi="Times New Roman;Times;Serif"/>
          <w:b w:val="false"/>
          <w:i w:val="false"/>
          <w:caps w:val="false"/>
          <w:smallCaps w:val="false"/>
          <w:sz w:val="20"/>
          <w:bdr w:val="single" w:sz="12" w:space="1" w:color="000000"/>
        </w:rPr>
        <w:t>The sponsors abandoned Celgosivir after completion of Phase II clinical trials involving 700+ patients, because other antivirals in development at the time had superior activity. The National University of Singapore initiated development of Celgosivir independently for Dengue fever. A clinical study, conducted in Singapore, the results of which were accepted for publication in the peer-reviewed journal Lancet Infectious Diseases, confirmed its safety but the observed reduction in viral load was lower than what the study was powered to detect.</w:t>
      </w:r>
      <w:r>
        <w:rPr>
          <w:rFonts w:ascii="Times New Roman;Times;Serif" w:hAnsi="Times New Roman;Times;Serif"/>
          <w:b w:val="false"/>
          <w:i w:val="false"/>
          <w:caps w:val="false"/>
          <w:smallCaps w:val="false"/>
          <w:position w:val="7"/>
          <w:sz w:val="16"/>
          <w:sz w:val="20"/>
          <w:bdr w:val="single" w:sz="12" w:space="1" w:color="000000"/>
        </w:rPr>
        <w:t>26 </w:t>
      </w:r>
      <w:r>
        <w:rPr>
          <w:rFonts w:ascii="Times New Roman;Times;Serif" w:hAnsi="Times New Roman;Times;Serif"/>
          <w:b w:val="false"/>
          <w:i w:val="false"/>
          <w:caps w:val="false"/>
          <w:smallCaps w:val="false"/>
          <w:sz w:val="20"/>
          <w:bdr w:val="single" w:sz="12" w:space="1" w:color="000000"/>
        </w:rPr>
        <w:t>Celgosivir (as with other Dengue antivirals) exhibits greater capacity to cure Dengue infections in animal models when administered prior to symptom onset when compared to administration post-symptom onset. In animal models, this problem can be addressed by administering the same dose of drug split into four doses per day rather than two doses per day (as was the case in the Singaporean clinical trial).</w:t>
      </w:r>
      <w:r>
        <w:rPr>
          <w:rFonts w:ascii="Times New Roman;Times;Serif" w:hAnsi="Times New Roman;Times;Serif"/>
          <w:b w:val="false"/>
          <w:i w:val="false"/>
          <w:caps w:val="false"/>
          <w:smallCaps w:val="false"/>
          <w:position w:val="7"/>
          <w:sz w:val="16"/>
          <w:sz w:val="20"/>
          <w:bdr w:val="single" w:sz="12" w:space="1" w:color="000000"/>
        </w:rPr>
        <w:t>27 </w:t>
      </w:r>
      <w:r>
        <w:rPr>
          <w:rFonts w:ascii="Times New Roman;Times;Serif" w:hAnsi="Times New Roman;Times;Serif"/>
          <w:b w:val="false"/>
          <w:i w:val="false"/>
          <w:caps w:val="false"/>
          <w:smallCaps w:val="false"/>
          <w:sz w:val="20"/>
          <w:bdr w:val="single" w:sz="12" w:space="1" w:color="000000"/>
        </w:rPr>
        <w:t>This observation led to the filing and approval of a patent related to Dengue, which we licensed from the National University of Singapore.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 clinical studies would be required to prove that such a 4x daily dosing regimen would be safe and effective in Dengue patients to regulators’ satisfaction. To that end, earlier in our history, we, in partnership with the National University of Singapore, and Singapore General Hospital, successfully secured a grant from the government of Singapore for a follow-on clinical trial. Unfortunately, we were unable at that time to raise matching private sector funding. We concluded as a result that development of Repositioned Molecules for Dengue, solely and without simultaneous development for other therapeutic use, despite substantial morbidity and mortality in tropical countries, was an effort best suited for philanthropic entities. Accordingly, during the pandemic, we undertook an effort (in partnership with NIH’s Division of Microbiology and Infectious Diseases program and Florida State University) to determine whether Celgosivir might be more broadly useful for respiratory diseases that have impact in both tropical and temperate countries. Preliminary data suggest that Celgosivir inhibits the replication of the virus that causes COVID-19 (SARS-CoV-2) in cell culture, and the RSV virus in cell culture and provides benefits in animals. We have filed and/or licensed patents in relation to Celgosivir for these other viruses as we believe there is potential applications to fight respiratory diseases that might have more commercial viability than historical development of Celgosivir to combat Dengue fever.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Australian Chestnut Extract/Castanospermine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Celgosivir is derived synthetically in a single chemical step from the naturally occurring alkaloid, castanospermine, isolated from extracts of the Australian Chestnut Tree (</w:t>
      </w:r>
      <w:r>
        <w:rPr>
          <w:rFonts w:ascii="Times New Roman;Times;Serif" w:hAnsi="Times New Roman;Times;Serif"/>
          <w:b w:val="false"/>
          <w:i/>
          <w:caps w:val="false"/>
          <w:smallCaps w:val="false"/>
          <w:sz w:val="20"/>
          <w:bdr w:val="single" w:sz="12" w:space="1" w:color="000000"/>
        </w:rPr>
        <w:t>Castanospermum australe</w:t>
      </w:r>
      <w:r>
        <w:rPr>
          <w:rFonts w:ascii="Times New Roman;Times;Serif" w:hAnsi="Times New Roman;Times;Serif"/>
          <w:b w:val="false"/>
          <w:i w:val="false"/>
          <w:caps w:val="false"/>
          <w:smallCaps w:val="false"/>
          <w:sz w:val="20"/>
          <w:bdr w:val="single" w:sz="12" w:space="1" w:color="000000"/>
        </w:rPr>
        <w:t>). When administered to humans or animals, celgosivir is almost completely metabolized to castanopsermine, which is the dominant metabolite. Abundant scientific literature has confirmed the antiviral, metabolic, and immunomodulatory properties of castanospermine. In March 2026, we submitted a 75-Day Notification to FDA that we intend to market a capsule formulation of Australian Chestnut Extract but FDA objected. We now intended to conduct preclinical studies to evaluate the potential efficacy of this molecule for prescription indications related to tick-borne diseases such as alpha-gal syndrome and post-treatment Lyme disease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Competitive Strengths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main competitive strength has been our ability to achieve important clinical milestones inexpensively in therapeutic areas that other entities have found extremely challenging. With a small virtual management team, we have successfully built productive research partnerships with public and academic entities, and licensed products with well characterized safety profiles in prior clinical studies, thereby reducing the cost and risk of clinical development. This business and product model enabled Arakoda to be approved in 2018, with a total operating expense of &lt; $10 million. We plan to focus in the future on generating proof of concept clinical data sets for the approved Arakoda regimen of Tafenoquine in other therapeutic areas, all of which is expected to foster and continue our existing tradition of inexpensive product development.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Strategy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general strategy to achieve profitability and grow shareholder value has three facets: (i) increase sales of Arakoda, (ii) conduct clinical trials to expand the number of patients who can use Tafenoquine for new indications in the future; and (iii) reposition small molecule therapeutics with good clinical safety profiles for new indications.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Expansion of U.S. Arakoda Sales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u w:val="single"/>
          <w:bdr w:val="single" w:sz="12" w:space="1" w:color="000000"/>
        </w:rPr>
        <w:t>Hiring of Chief Commercial Officer.</w:t>
      </w:r>
      <w:r>
        <w:rPr>
          <w:rFonts w:ascii="Times New Roman;Times;Serif" w:hAnsi="Times New Roman;Times;Serif"/>
          <w:b w:val="false"/>
          <w:i w:val="false"/>
          <w:caps w:val="false"/>
          <w:smallCaps w:val="false"/>
          <w:sz w:val="20"/>
          <w:bdr w:val="single" w:sz="12" w:space="1" w:color="000000"/>
        </w:rPr>
        <w:t> In February 2024, we hired Kristen Landon to lead our commercial efforts to reintroduce Arakoda for malaria prevention and conduct new product planning initiatives in tick-borne disease for babesiosis. We spent the first quarter of 2024 analyzing the current landscape in the malaria prevention market, conducting primary market research among providers and consumers, and assessing agency partners for a virtual/digital marketing pilot program. Additionally, we kicked off a market assessment on the babesiosis space including desk top research and qualitative interviews with Key Opinion Leaders in the Infectious Disease and Lyme Community. In 2025 we conducted quantitative research with Healthcare Providers and consumers to assess the market opportunity for the Chronic Babesiosis development program. We included a patient survey to measure self-reported prevalence of babesiosis and other relevant conditions across geographic regions and assessed claims data to support our findings.  We have developed and cultivated key relationships with the tick-borne disease community including professional associations such as ILADS and Global Lyme Alliance and advocacy groups to help us understand the unmet needs in this currently under recognized, under diagnosed and misunderstood therapeutic area.</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4480" w:type="dxa"/>
        <w:jc w:val="left"/>
        <w:tblInd w:w="0" w:type="dxa"/>
        <w:tblLayout w:type="fixed"/>
        <w:tblCellMar>
          <w:top w:w="0" w:type="dxa"/>
          <w:left w:w="0" w:type="dxa"/>
          <w:bottom w:w="0" w:type="dxa"/>
          <w:right w:w="0" w:type="dxa"/>
        </w:tblCellMar>
      </w:tblPr>
      <w:tblGrid>
        <w:gridCol w:w="215"/>
        <w:gridCol w:w="4265"/>
      </w:tblGrid>
      <w:tr>
        <w:trPr/>
        <w:tc>
          <w:tcPr>
            <w:tcW w:w="215" w:type="dxa"/>
            <w:tcBorders/>
            <w:vAlign w:val="center"/>
          </w:tcPr>
          <w:p>
            <w:pPr>
              <w:pStyle w:val="TableContents"/>
              <w:bidi w:val="0"/>
              <w:spacing w:before="0" w:after="283"/>
              <w:jc w:val="left"/>
              <w:rPr>
                <w:position w:val="7"/>
                <w:sz w:val="16"/>
                <w:sz w:val="20"/>
              </w:rPr>
            </w:pPr>
            <w:r>
              <w:rPr>
                <w:position w:val="7"/>
                <w:sz w:val="16"/>
                <w:sz w:val="20"/>
              </w:rPr>
              <w:t>25</w:t>
            </w:r>
          </w:p>
        </w:tc>
        <w:tc>
          <w:tcPr>
            <w:tcW w:w="4265" w:type="dxa"/>
            <w:tcBorders/>
            <w:vAlign w:val="center"/>
          </w:tcPr>
          <w:p>
            <w:pPr>
              <w:pStyle w:val="TableContents"/>
              <w:bidi w:val="0"/>
              <w:spacing w:before="0" w:after="283"/>
              <w:jc w:val="both"/>
              <w:rPr>
                <w:sz w:val="20"/>
              </w:rPr>
            </w:pPr>
            <w:r>
              <w:rPr>
                <w:sz w:val="20"/>
              </w:rPr>
              <w:t>Sorbera et al, Drugs of the Future 2005; 30:545-552.</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26</w:t>
            </w:r>
          </w:p>
        </w:tc>
        <w:tc>
          <w:tcPr>
            <w:tcW w:w="4265" w:type="dxa"/>
            <w:tcBorders/>
            <w:vAlign w:val="center"/>
          </w:tcPr>
          <w:p>
            <w:pPr>
              <w:pStyle w:val="TableContents"/>
              <w:bidi w:val="0"/>
              <w:spacing w:before="0" w:after="283"/>
              <w:jc w:val="both"/>
              <w:rPr>
                <w:sz w:val="20"/>
              </w:rPr>
            </w:pPr>
            <w:r>
              <w:rPr>
                <w:sz w:val="20"/>
              </w:rPr>
              <w:t>Low et. al., Lancet ID 2014; 14:706-715.</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27</w:t>
            </w:r>
          </w:p>
        </w:tc>
        <w:tc>
          <w:tcPr>
            <w:tcW w:w="4265" w:type="dxa"/>
            <w:tcBorders/>
            <w:vAlign w:val="center"/>
          </w:tcPr>
          <w:p>
            <w:pPr>
              <w:pStyle w:val="TableContents"/>
              <w:bidi w:val="0"/>
              <w:spacing w:before="0" w:after="283"/>
              <w:jc w:val="both"/>
              <w:rPr>
                <w:sz w:val="20"/>
              </w:rPr>
            </w:pPr>
            <w:r>
              <w:rPr>
                <w:sz w:val="20"/>
              </w:rPr>
              <w:t>Watanabe et al, Antiviral Research 2016; 10:e19.</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u w:val="single"/>
          <w:bdr w:val="single" w:sz="12" w:space="1" w:color="000000"/>
        </w:rPr>
        <w:t>Repositioning of Arakoda Relative to Malarone and Generic Equivalent Atovaquone-Proguanil</w:t>
      </w:r>
      <w:r>
        <w:rPr>
          <w:rFonts w:ascii="Times New Roman;Times;Serif" w:hAnsi="Times New Roman;Times;Serif"/>
          <w:b w:val="false"/>
          <w:i w:val="false"/>
          <w:caps w:val="false"/>
          <w:smallCaps w:val="false"/>
          <w:sz w:val="20"/>
          <w:bdr w:val="single" w:sz="12" w:space="1" w:color="000000"/>
        </w:rPr>
        <w:t>. A malaria demand study was conducted to assess the attractiveness and acceptability of the Arakoda product profile and current pricing among health care providers and consumers. The product profile was well received among both stakeholders; however, price sensitivity on out-of-pocket costs was noted among both groups. Generic atovaquone-proguanil, our primary competitor, is substantially cheaper than Arakoda for the average trip length (three weeks) and has superior formulary positioning (Tier 1 vs. Tier 3). However, generic-atovaquone proguanil does not provide the same level of confidence a traveler may experience from taking a product with a convenient weekly dosing regimen during travel, that works everywhere in the world against all malaria species and drug-resistant strains, and which requires only a single dose for post-exposure prophylaxis upon return from a malarious area. The value those advantages confer needs to be communicated with key stakeholders.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u w:val="single"/>
          <w:bdr w:val="single" w:sz="12" w:space="1" w:color="000000"/>
        </w:rPr>
        <w:t>Market Segment, Targeting, and Commercial Update</w:t>
      </w:r>
      <w:r>
        <w:rPr>
          <w:rFonts w:ascii="Times New Roman;Times;Serif" w:hAnsi="Times New Roman;Times;Serif"/>
          <w:b w:val="false"/>
          <w:i w:val="false"/>
          <w:caps w:val="false"/>
          <w:smallCaps w:val="false"/>
          <w:sz w:val="20"/>
          <w:bdr w:val="single" w:sz="12" w:space="1" w:color="000000"/>
        </w:rPr>
        <w:t>. We purchased market data to understand the malaria market landscape over the past decade and identified the current prescribers of Malarone and the generic equivalent atovaquone-proguanil, the main generic competitor to Arakoda for malaria prophylaxis. The ARAKODA commercial program commenced in Q1 2025, with three main objectives: 1. Increase ARAKODA awareness and communicate ARAKODA’s value proposition; 2. Drive ARAKODA trial and usage; and 3. Facilitate access and affordability. The pilot includes a three-pronged approach utilizing Virtual Sales Representatives (VSRs), a programmatic email campaign, and a co-pay offering for commercially insured patients. Based on the results of the pilot, we expanded our VSR team, optimized our omnichannel outreach, and partnered with GoodRx to expand our Point of Sale (POS) discount. We announced a partnership with Runway Health, an asynchronous travel medicine platform to engage travelers that are actively seeking malaria prophylaxis treatment. We plan to launch the ARAKODA landing page on the Runway platform in Q1 of 2026.  Additionally, we conducted an ATU (Awareness, Trial, and Usage) with study with HCPs in Q1 2026 and were encouraged by the findings. Our overall awareness is relatively low, however the receptivity to the ARAKODA messaging in our new promotional materials greatly increased the level of interest and intended use of the product which substantiates our commercial expansion with the added VSRs and increased medical congress presence. We do not initially plan to target U.S. government agencies as these organizations are either contracting their ex-U.S footprints or, as in the case of the Department of Defense, are expected to be extremely price sensitive until operational considerations justify the use of superior products – for example, the DOD used inexpensive doxycycline for malaria prevention in the low malaria risk setting of Afghanistan, but chose superior weekly mefloquine, despite safety concerns, for the Ebola mission to west Africa in 2014, where malaria rates were extremely high.</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u w:val="single"/>
          <w:bdr w:val="single" w:sz="12" w:space="1" w:color="000000"/>
        </w:rPr>
        <w:t>Digital Revamp and Collateral:</w:t>
      </w:r>
      <w:r>
        <w:rPr>
          <w:rFonts w:ascii="Times New Roman;Times;Serif" w:hAnsi="Times New Roman;Times;Serif"/>
          <w:b w:val="false"/>
          <w:i w:val="false"/>
          <w:caps w:val="false"/>
          <w:smallCaps w:val="false"/>
          <w:sz w:val="20"/>
          <w:bdr w:val="single" w:sz="12" w:space="1" w:color="000000"/>
        </w:rPr>
        <w:t> Our marketing strategy and objectives for our commercial outreach include marketing assets that we believe best highlight the features and benefits of Arakoda, namely the convenience of the travel and post-travel regimen, and global effectiveness and a co-pay benefit to reduce the out-of-pocket expense for individuals with commercial insurance. We will launch new marketing assets including HCP promotions, a patient brochure and ARAKODA dosing cards based on feedback from our pilot. All marketing assets will be distributed by sales staff and available at medical congresses and will also reside on ARAKODA.com.</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Development of the Arakoda Regimen of Tafenoquine for Babesiosis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animal models, Tafenoquine monotherapy has been shown to suppress acute babesiosis infections to the point where the immune system can control them following single or multiple doses similar to those effective against malaria parasites, and longer regimens alone or in combination with atovaquone leads to complete radical cure and to the conference of sterile immunity.</w:t>
      </w:r>
      <w:r>
        <w:rPr>
          <w:rFonts w:ascii="Times New Roman;Times;Serif" w:hAnsi="Times New Roman;Times;Serif"/>
          <w:b w:val="false"/>
          <w:i w:val="false"/>
          <w:caps w:val="false"/>
          <w:smallCaps w:val="false"/>
          <w:position w:val="7"/>
          <w:sz w:val="16"/>
          <w:sz w:val="20"/>
          <w:bdr w:val="single" w:sz="12" w:space="1" w:color="000000"/>
        </w:rPr>
        <w:t>28</w:t>
      </w:r>
      <w:r>
        <w:rPr>
          <w:rFonts w:ascii="Times New Roman;Times;Serif" w:hAnsi="Times New Roman;Times;Serif"/>
          <w:b w:val="false"/>
          <w:i w:val="false"/>
          <w:caps w:val="false"/>
          <w:smallCaps w:val="false"/>
          <w:sz w:val="20"/>
          <w:bdr w:val="single" w:sz="12" w:space="1" w:color="000000"/>
        </w:rPr>
        <w:t> In a case series of five immunosuppressed patients in whom prior standard of care treatments failed, weekly Tafenoquine at a higher weekly dose than the Arakoda regimen combined with standard of care treatments resulted in sustained clinical resolution (symptom clearance and at least two negative consecutive PCRs) in four (80%) of individuals.</w:t>
      </w:r>
      <w:r>
        <w:rPr>
          <w:rFonts w:ascii="Times New Roman;Times;Serif" w:hAnsi="Times New Roman;Times;Serif"/>
          <w:b w:val="false"/>
          <w:i w:val="false"/>
          <w:caps w:val="false"/>
          <w:smallCaps w:val="false"/>
          <w:position w:val="7"/>
          <w:sz w:val="16"/>
          <w:sz w:val="20"/>
          <w:bdr w:val="single" w:sz="12" w:space="1" w:color="000000"/>
        </w:rPr>
        <w:t>29</w:t>
      </w:r>
      <w:r>
        <w:rPr>
          <w:rFonts w:ascii="Times New Roman;Times;Serif" w:hAnsi="Times New Roman;Times;Serif"/>
          <w:b w:val="false"/>
          <w:i w:val="false"/>
          <w:caps w:val="false"/>
          <w:smallCaps w:val="false"/>
          <w:sz w:val="20"/>
          <w:bdr w:val="single" w:sz="12" w:space="1" w:color="000000"/>
        </w:rPr>
        <w:t> In the fifth patient in that case series treatment was discontinued for unstated reasons prior to the observation of consecutive negative PCRs, meaning that the overall cure rate may actually approach 100% in treatment compliant individuals. Our market research has revealed that recent sales growth for Arakoda is primarily attributable to organic growth in prescribing by Lyme community prescribers for Chronic Babesiosis. Collectively these data suggest Tafenoquine might have utility alone or in combination as treatment or post-exposure prophylaxis of babesiosis (both acute and chronic).</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planning three clinical trials to aid further development and commercialization of a Babesiosis indication for Tafenoquine. Trial 1 is a randomized, placebo-controlled, evaluation of an approximately one-month treatment course of Tafenoquine (Arakoda regimen) in patients hospitalized with babesiosis who are also taking standard of care treatment (10 days of atovaquone-azithromycin). The primary endpoint will be time to clinical recovery of 11 common babesiosis symptoms as reported by patients and the secondary endpoint is the time to molecular cure (using a commercial PCR assay). The study will enroll a minimum of 24 and up to 33 patients before an interim analysis is conducted, which will include both a test of significance and a sample size re-estimation in case this is required. We have signed clinical trial agreements with Tufts Medical Group, Yale, Rhode Island Hospital, Westchester Medical Center and Brigham &amp; Women’s Hospital. The first patient was randomized on June 25, 2024, 19 patients have completed the study and 28 have been randomized. An interim analysis is planned and will occur before October 6, 2026. Further details are available on the clinicaltrials.gov website.</w:t>
      </w:r>
      <w:r>
        <w:rPr>
          <w:rFonts w:ascii="Times New Roman;Times;Serif" w:hAnsi="Times New Roman;Times;Serif"/>
          <w:b w:val="false"/>
          <w:i w:val="false"/>
          <w:caps w:val="false"/>
          <w:smallCaps w:val="false"/>
          <w:position w:val="7"/>
          <w:sz w:val="16"/>
          <w:sz w:val="20"/>
          <w:bdr w:val="single" w:sz="12" w:space="1" w:color="000000"/>
        </w:rPr>
        <w:t>30</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28</w:t>
            </w:r>
          </w:p>
        </w:tc>
        <w:tc>
          <w:tcPr>
            <w:tcW w:w="9990" w:type="dxa"/>
            <w:tcBorders/>
            <w:vAlign w:val="center"/>
          </w:tcPr>
          <w:p>
            <w:pPr>
              <w:pStyle w:val="TableContents"/>
              <w:bidi w:val="0"/>
              <w:spacing w:before="0" w:after="283"/>
              <w:jc w:val="left"/>
              <w:rPr>
                <w:sz w:val="20"/>
              </w:rPr>
            </w:pPr>
            <w:r>
              <w:rPr>
                <w:sz w:val="20"/>
              </w:rPr>
              <w:t>Liu et al. Antimicrobial Agents Chemo 2021;65:e00204-21. Vydyam et al. J Infect Dis. 2024 Jan 3:jiad315. doi:10.1093/infdis/jiad315.</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29</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Krause et al </w:t>
            </w:r>
            <w:r>
              <w:rPr>
                <w:rFonts w:ascii="Times New Roman;Times;Serif" w:hAnsi="Times New Roman;Times;Serif"/>
                <w:i/>
                <w:sz w:val="20"/>
              </w:rPr>
              <w:t>Clin Infect Dis</w:t>
            </w:r>
            <w:r>
              <w:rPr>
                <w:rFonts w:ascii="Times New Roman;Times;Serif" w:hAnsi="Times New Roman;Times;Serif"/>
                <w:sz w:val="20"/>
              </w:rPr>
              <w:t> 2024; doi:10.1093/cid/ciae238.</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30</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entry for NCT06207370 on the clinicaltrials.gov website</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Trial 2 is an expanded use study utilizing commercially available Arakoda. The Company is offering up to one year of Arakoda at no cost to up to 10 patients per year (i.e., immunocompromised patients who have previously failed standard of care treatment). Informed consent will be obtained from patients to collect a blood sample for PCR testing at the end of treatment, and patients will be asked to complete a babesiosis symptom questionnaire. The goal of the study is to generate additional prospective data to confirm the observation by Krause et al in a recent publication that an extended regimen of Tafenoquine combined with standard of care regimens cured up to 100% of treatment-compliant immunocompromised patients with relapsing babesiosis. The main difference is that the study will evaluate the weekly Arakoda dose of Tafenoquine (200 mg) whereas Krause evaluated a 300 mg weekly dose, although simulations suggest both regimens maintain drug levels above protective thresholds. As of the date of this filing, three patients have completed the study and all were cured. Two more were enrolled in June 2026. More details about the study can be found on the clinicaltrials.gov website.</w:t>
      </w:r>
      <w:r>
        <w:rPr>
          <w:rFonts w:ascii="Times New Roman;Times;Serif" w:hAnsi="Times New Roman;Times;Serif"/>
          <w:b w:val="false"/>
          <w:i w:val="false"/>
          <w:caps w:val="false"/>
          <w:smallCaps w:val="false"/>
          <w:position w:val="7"/>
          <w:sz w:val="16"/>
          <w:sz w:val="20"/>
          <w:bdr w:val="single" w:sz="12" w:space="1" w:color="000000"/>
        </w:rPr>
        <w:t>31</w:t>
      </w:r>
    </w:p>
    <w:p>
      <w:pPr>
        <w:pStyle w:val="TextBody"/>
        <w:shd w:fill="FFFFFF" w:val="clear"/>
        <w:bidi w:val="0"/>
        <w:spacing w:before="0" w:after="0"/>
        <w:ind w:left="0" w:right="0" w:hanging="0"/>
        <w:jc w:val="both"/>
        <w:rPr>
          <w:caps w:val="false"/>
          <w:smallCaps w:val="false"/>
          <w:position w:val="8"/>
          <w:sz w:val="19"/>
          <w:bdr w:val="single" w:sz="12" w:space="1" w:color="000000"/>
        </w:rPr>
      </w:pPr>
      <w:r>
        <w:rPr>
          <w:caps w:val="false"/>
          <w:smallCaps w:val="false"/>
          <w:position w:val="8"/>
          <w:sz w:val="19"/>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Trial 3 is a Phase II open label study utilizing commercially available Arakoda. The Company is offering an approximately three-month supply of Arakoda at no cost to patients who have a clinical diagnosis of Chronic Babesiosis, are willing to submit biological samples for testing, and answer babesiosis and standardized fatigue inventories before and after treatment. The goal of this study will be to ascertain whether Arakoda treatment improves patient-reported fatigue symptoms in individuals who have symptoms of severe fatigue lasting more than six months and a diagnosis of chronic babesiosis. Secondary objectives include assessing confirmable </w:t>
      </w:r>
      <w:r>
        <w:rPr>
          <w:rFonts w:ascii="Times New Roman;Times;Serif" w:hAnsi="Times New Roman;Times;Serif"/>
          <w:b w:val="false"/>
          <w:i/>
          <w:caps w:val="false"/>
          <w:smallCaps w:val="false"/>
          <w:sz w:val="20"/>
          <w:bdr w:val="single" w:sz="12" w:space="1" w:color="000000"/>
        </w:rPr>
        <w:t>Babesia</w:t>
      </w:r>
      <w:r>
        <w:rPr>
          <w:rFonts w:ascii="Times New Roman;Times;Serif" w:hAnsi="Times New Roman;Times;Serif"/>
          <w:b w:val="false"/>
          <w:i w:val="false"/>
          <w:caps w:val="false"/>
          <w:smallCaps w:val="false"/>
          <w:sz w:val="20"/>
          <w:bdr w:val="single" w:sz="12" w:space="1" w:color="000000"/>
        </w:rPr>
        <w:t> infection rates in these populations using validated molecular assays, and assessing the safety and tolerability profile of Arakoda in this patient population. As of the date of this filing, nine patients were enrolled. The study will be concluded upon the earlier of (i) 16 patients with a diagnosis of babesiosis confirmed using a FDA-licensed blood bank screening test complete the study or (ii) a maximum of 100 patients are enrolled and complete the study. More details about the study can be found on the clinicaltrials.gov website.</w:t>
      </w:r>
      <w:r>
        <w:rPr>
          <w:rFonts w:ascii="Times New Roman;Times;Serif" w:hAnsi="Times New Roman;Times;Serif"/>
          <w:b w:val="false"/>
          <w:i w:val="false"/>
          <w:caps w:val="false"/>
          <w:smallCaps w:val="false"/>
          <w:position w:val="7"/>
          <w:sz w:val="16"/>
          <w:sz w:val="20"/>
          <w:bdr w:val="single" w:sz="12" w:space="1" w:color="000000"/>
        </w:rPr>
        <w:t>32</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May 2024, we signed a research and collaboration agreement with North Carolina State University in which the College of Veterinary Medicine will screen archived blood samples from 50 patients exhibiting symptoms consistent with chronic fatigue by PCR for the presence of Babesia spp by digital PCR and DNA sequencing. This work was recently published. A key finding of the study was that </w:t>
      </w:r>
      <w:r>
        <w:rPr>
          <w:rFonts w:ascii="Times New Roman;Times;Serif" w:hAnsi="Times New Roman;Times;Serif"/>
          <w:b w:val="false"/>
          <w:i/>
          <w:caps w:val="false"/>
          <w:smallCaps w:val="false"/>
          <w:sz w:val="20"/>
          <w:bdr w:val="single" w:sz="12" w:space="1" w:color="000000"/>
        </w:rPr>
        <w:t>Babesia</w:t>
      </w:r>
      <w:r>
        <w:rPr>
          <w:rFonts w:ascii="Times New Roman;Times;Serif" w:hAnsi="Times New Roman;Times;Serif"/>
          <w:b w:val="false"/>
          <w:i w:val="false"/>
          <w:caps w:val="false"/>
          <w:smallCaps w:val="false"/>
          <w:sz w:val="20"/>
          <w:bdr w:val="single" w:sz="12" w:space="1" w:color="000000"/>
        </w:rPr>
        <w:t> infection was confirmed in 24% of patients.</w:t>
      </w:r>
      <w:r>
        <w:rPr>
          <w:rFonts w:ascii="Times New Roman;Times;Serif" w:hAnsi="Times New Roman;Times;Serif"/>
          <w:b w:val="false"/>
          <w:i w:val="false"/>
          <w:caps w:val="false"/>
          <w:smallCaps w:val="false"/>
          <w:position w:val="7"/>
          <w:sz w:val="16"/>
          <w:sz w:val="20"/>
          <w:bdr w:val="single" w:sz="12" w:space="1" w:color="000000"/>
        </w:rPr>
        <w:t>33</w:t>
      </w:r>
      <w:r>
        <w:rPr>
          <w:rFonts w:ascii="Times New Roman;Times;Serif" w:hAnsi="Times New Roman;Times;Serif"/>
          <w:b w:val="false"/>
          <w:i w:val="false"/>
          <w:caps w:val="false"/>
          <w:smallCaps w:val="false"/>
          <w:sz w:val="20"/>
          <w:bdr w:val="single" w:sz="12" w:space="1" w:color="000000"/>
        </w:rPr>
        <w:t> These data were used to set the sample size for Trial 3.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if the Company does not become capital-limited, and no recruitment issues are encountered, that the results of one or more of the above studies will come to fruition in the third quarter of 2026, potentially facilitating submission of a supplementary new drug application (or other appropriate regulatory filing) to FDA, with the goal of obtaining marketing approval of Arakoda for treatment of Babesiosis. If successful, this will allow the Company to actively market Arakoda for Babesiosis.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Tafenoquine for Veterinary Indications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March 2024, we initiated, in collaboration with the North Carolina State University College of Veterinary Medicine, a pilot study of Tafenoquine for treatment of canine babesiosis in the United States under a sponsored research program. That study is now complete. Collectively, the data suggest a two dose oral treatment for acute canine babesiosis may be possible. The product has been assigned the tradename Zamvio</w:t>
      </w:r>
      <w:r>
        <w:rPr>
          <w:rFonts w:ascii="Times New Roman;Times;Serif" w:hAnsi="Times New Roman;Times;Serif"/>
          <w:b w:val="false"/>
          <w:i w:val="false"/>
          <w:caps w:val="false"/>
          <w:smallCaps w:val="false"/>
          <w:position w:val="7"/>
          <w:sz w:val="16"/>
          <w:sz w:val="20"/>
          <w:bdr w:val="single" w:sz="12" w:space="1" w:color="000000"/>
        </w:rPr>
        <w:t>TM</w:t>
      </w:r>
      <w:r>
        <w:rPr>
          <w:rFonts w:ascii="Times New Roman;Times;Serif" w:hAnsi="Times New Roman;Times;Serif"/>
          <w:b w:val="false"/>
          <w:i w:val="false"/>
          <w:caps w:val="false"/>
          <w:smallCaps w:val="false"/>
          <w:sz w:val="20"/>
          <w:bdr w:val="single" w:sz="12" w:space="1" w:color="000000"/>
        </w:rPr>
        <w:t>. We believe there may be sufficient data to apply to the FDA for a Minor Use/Minor Species (MUMS) designation and conditional marketing approval for Zamvio</w:t>
      </w:r>
      <w:r>
        <w:rPr>
          <w:rFonts w:ascii="Times New Roman;Times;Serif" w:hAnsi="Times New Roman;Times;Serif"/>
          <w:b w:val="false"/>
          <w:i w:val="false"/>
          <w:caps w:val="false"/>
          <w:smallCaps w:val="false"/>
          <w:position w:val="7"/>
          <w:sz w:val="16"/>
          <w:sz w:val="20"/>
          <w:bdr w:val="single" w:sz="12" w:space="1" w:color="000000"/>
        </w:rPr>
        <w:t>TM</w:t>
      </w:r>
      <w:r>
        <w:rPr>
          <w:rFonts w:ascii="Times New Roman;Times;Serif" w:hAnsi="Times New Roman;Times;Serif"/>
          <w:b w:val="false"/>
          <w:i w:val="false"/>
          <w:caps w:val="false"/>
          <w:smallCaps w:val="false"/>
          <w:sz w:val="20"/>
          <w:bdr w:val="single" w:sz="12" w:space="1" w:color="000000"/>
        </w:rPr>
        <w:t>. We have been granted fee waivers on our INAD, and plan to submit a meeting request to FDA soon.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ind w:left="0" w:right="0" w:hanging="0"/>
        <w:jc w:val="left"/>
        <w:rPr>
          <w:bdr w:val="single" w:sz="12" w:space="1" w:color="000000"/>
        </w:rPr>
      </w:pPr>
      <w:r>
        <w:rPr>
          <w:bdr w:val="single" w:sz="12" w:space="1" w:color="000000"/>
        </w:rPr>
        <w:t> </w:t>
      </w:r>
    </w:p>
    <w:tbl>
      <w:tblPr>
        <w:tblW w:w="7360" w:type="dxa"/>
        <w:jc w:val="left"/>
        <w:tblInd w:w="0" w:type="dxa"/>
        <w:tblLayout w:type="fixed"/>
        <w:tblCellMar>
          <w:top w:w="0" w:type="dxa"/>
          <w:left w:w="0" w:type="dxa"/>
          <w:bottom w:w="0" w:type="dxa"/>
          <w:right w:w="0" w:type="dxa"/>
        </w:tblCellMar>
      </w:tblPr>
      <w:tblGrid>
        <w:gridCol w:w="215"/>
        <w:gridCol w:w="7145"/>
      </w:tblGrid>
      <w:tr>
        <w:trPr/>
        <w:tc>
          <w:tcPr>
            <w:tcW w:w="215" w:type="dxa"/>
            <w:tcBorders/>
            <w:vAlign w:val="center"/>
          </w:tcPr>
          <w:p>
            <w:pPr>
              <w:pStyle w:val="TableContents"/>
              <w:bidi w:val="0"/>
              <w:spacing w:before="0" w:after="283"/>
              <w:jc w:val="left"/>
              <w:rPr>
                <w:position w:val="7"/>
                <w:sz w:val="16"/>
                <w:sz w:val="20"/>
              </w:rPr>
            </w:pPr>
            <w:r>
              <w:rPr>
                <w:position w:val="7"/>
                <w:sz w:val="16"/>
                <w:sz w:val="20"/>
              </w:rPr>
              <w:t>31</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entry for NCT06478641 on the clinicaltrials.gov website</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32</w:t>
            </w:r>
          </w:p>
        </w:tc>
        <w:tc>
          <w:tcPr>
            <w:tcW w:w="7145" w:type="dxa"/>
            <w:tcBorders/>
            <w:vAlign w:val="center"/>
          </w:tcPr>
          <w:p>
            <w:pPr>
              <w:pStyle w:val="TableContents"/>
              <w:bidi w:val="0"/>
              <w:spacing w:before="0" w:after="283"/>
              <w:jc w:val="both"/>
              <w:rPr/>
            </w:pPr>
            <w:r>
              <w:rPr>
                <w:rFonts w:ascii="Times New Roman;Times;Serif" w:hAnsi="Times New Roman;Times;Serif"/>
                <w:sz w:val="20"/>
              </w:rPr>
              <w:t>See entry </w:t>
            </w:r>
            <w:r>
              <w:rPr>
                <w:sz w:val="20"/>
              </w:rPr>
              <w:t>for NCT06656351 on </w:t>
            </w:r>
            <w:r>
              <w:rPr>
                <w:rFonts w:ascii="Times New Roman;Times;Serif" w:hAnsi="Times New Roman;Times;Serif"/>
                <w:sz w:val="20"/>
              </w:rPr>
              <w:t>the clinicaltrials.gov websitev</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33</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Breitschwerdt et al. Pathogens 2025 Dec 19;15(1):2. doi: 10.3390/pathogens15010002.</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Combination Partner for Tafenoquine for Malaria</w:t>
      </w:r>
      <w:r>
        <w:rPr>
          <w:rFonts w:ascii="Times New Roman;Times;Serif" w:hAnsi="Times New Roman;Times;Serif"/>
          <w:b w:val="false"/>
          <w:i w:val="false"/>
          <w:caps w:val="false"/>
          <w:smallCaps w:val="false"/>
          <w:sz w:val="20"/>
          <w:bdr w:val="single" w:sz="12" w:space="1" w:color="000000"/>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Most new antimalarial treatment products are developed as drug combinations to proactively combat drug resistance. We believe that Tafenoquine, due to its long half-life and activity against all parasite species and strains, would be an ideal partner in a drug combination. Recently, Kentucky Technology Inc. (“KTI”), completed Phase IIA studies in </w:t>
      </w:r>
      <w:r>
        <w:rPr>
          <w:rFonts w:ascii="Times New Roman;Times;Serif" w:hAnsi="Times New Roman;Times;Serif"/>
          <w:b w:val="false"/>
          <w:i/>
          <w:caps w:val="false"/>
          <w:smallCaps w:val="false"/>
          <w:sz w:val="20"/>
          <w:bdr w:val="single" w:sz="12" w:space="1" w:color="000000"/>
        </w:rPr>
        <w:t>P. vivax</w:t>
      </w:r>
      <w:r>
        <w:rPr>
          <w:rFonts w:ascii="Times New Roman;Times;Serif" w:hAnsi="Times New Roman;Times;Serif"/>
          <w:b w:val="false"/>
          <w:i w:val="false"/>
          <w:caps w:val="false"/>
          <w:smallCaps w:val="false"/>
          <w:sz w:val="20"/>
          <w:bdr w:val="single" w:sz="12" w:space="1" w:color="000000"/>
        </w:rPr>
        <w:t> malaria, in which they evaluated the safety and efficacy of SJ733, their ATP4 inhibitor in combination with Tafenoquine as the combination partner drug. It was recently announced that the SJ733 development program would be partially supported by a grant from the Global Health Innovative Technology Fund (“GHIT”). As part of its shares for services agreement with KTI, the Company recently received a detailed feasibility assessment and business plan for the project, including an assessment of potential PRV eligibility. The Company has provided KTI with a right of reference to its Arakoda IND, in order to assist with regulatory approvals of forthcoming clinical trials.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Celgosivir for Antiviral Diseases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Reviewing prior studies of Celgosivir for Zika, Dengue and RSV, it is evident that the drug protects against the pathological effects of viruses through a combination of anti-inflammatory and antiviral effects. These properties suggest it might have a beneficial effect in several viral diseases. Celgosivir is synthesized from Castanospermine, which is obtained from botanical sources in low yield, making its inherent cost of goods potentially high. Castanospermine is also quite water soluble, making it amenable to intravenous formulation. As of the date of this report, we are pausing development of celgosivir until the potential commercial utility of castanospermine for tick-borne disease has been assessed.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Australian Chestnut Extract/Castanospermine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Extensive scientific literature suggests that main molecular component of extracts of the seeds of the Australian Chestnut Tree, castanospermine, has broad antiviral, metabolic, and immunomodulatory effects by virtue of its inhibition of glucosidases (enzymes that break down glucose containing polymers). These properties suggest that Australian Chestnut Extract may provide support to patients suffering numerous conditions. The Company intends to evaluate the utility of castanospermine for tick-borne diseases in animal models.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Post-Marketing Requirements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an FDA post-marketing requirement to conduct a malaria prophylaxis study of Arakoda in pediatric and adolescent subjects. We proposed to the FDA, in late 2021, that this might not be safe to execute given that malaria prevention is administered to asymptomatic individuals and that methemoglobinemia (damage to the hemoglobin in blood that carries oxygen) occurred in 5% of patients, and exceeded a level of 10% in 3% of individuals in a study conducted by another sponsor in pediatric subjects with symptomatic vivax malaria.</w:t>
      </w:r>
      <w:r>
        <w:rPr>
          <w:rFonts w:ascii="Times New Roman;Times;Serif" w:hAnsi="Times New Roman;Times;Serif"/>
          <w:b w:val="false"/>
          <w:i w:val="false"/>
          <w:caps w:val="false"/>
          <w:smallCaps w:val="false"/>
          <w:position w:val="7"/>
          <w:sz w:val="16"/>
          <w:sz w:val="20"/>
          <w:bdr w:val="single" w:sz="12" w:space="1" w:color="000000"/>
        </w:rPr>
        <w:t>34</w:t>
      </w:r>
      <w:r>
        <w:rPr>
          <w:rFonts w:ascii="Times New Roman;Times;Serif" w:hAnsi="Times New Roman;Times;Serif"/>
          <w:b w:val="false"/>
          <w:i w:val="false"/>
          <w:caps w:val="false"/>
          <w:smallCaps w:val="false"/>
          <w:sz w:val="20"/>
          <w:bdr w:val="single" w:sz="12" w:space="1" w:color="000000"/>
        </w:rPr>
        <w:t> The FDA has asked us to propose an alternate design, for which we submitted a concept protocol in the fourth quarter of 2022, and submitted a full protocol in July 2024. In 2025, FDA agreed to our proposal to defer completion of this study to December 2030. We estimate the cost of conducting this study to be approximately $2 million.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5425" w:type="dxa"/>
        <w:jc w:val="left"/>
        <w:tblInd w:w="0" w:type="dxa"/>
        <w:tblLayout w:type="fixed"/>
        <w:tblCellMar>
          <w:top w:w="0" w:type="dxa"/>
          <w:left w:w="0" w:type="dxa"/>
          <w:bottom w:w="0" w:type="dxa"/>
          <w:right w:w="0" w:type="dxa"/>
        </w:tblCellMar>
      </w:tblPr>
      <w:tblGrid>
        <w:gridCol w:w="215"/>
        <w:gridCol w:w="521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34</w:t>
            </w:r>
          </w:p>
        </w:tc>
        <w:tc>
          <w:tcPr>
            <w:tcW w:w="5210" w:type="dxa"/>
            <w:tcBorders/>
            <w:vAlign w:val="center"/>
          </w:tcPr>
          <w:p>
            <w:pPr>
              <w:pStyle w:val="TableContents"/>
              <w:bidi w:val="0"/>
              <w:spacing w:before="0" w:after="283"/>
              <w:jc w:val="both"/>
              <w:rPr>
                <w:sz w:val="20"/>
              </w:rPr>
            </w:pPr>
            <w:r>
              <w:rPr>
                <w:sz w:val="20"/>
              </w:rPr>
              <w:t>Velez et al 2021 - Lancet Child Adolesc Health 2022; 6: 86–95.</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Intellectual Property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co-owners, with the U.S. Army, of patents in the United States and certain foreign jurisdictions directed toward use of Tafenoquine for malaria and have obtained an exclusive worldwide license from the U.S. Army to practice these inventions. We also have an exclusive worldwide license to use manufacturing information and non-clinical and clinical data that the U.S. Army possesses relating to use of Tafenoquine for all therapeutic applications and uses excluding radical cure of symptomatic vivax malaria. We have submitted patent applications in the United States and certain foreign jurisdictions for use of Tafenoquine for COVID-19, fungal lung infections, tick-borne diseases, and other infectious and non-infectious diseases in which induction of host cytokines/inflammation is a component of the disease process. The United States Patent and Trademark Office (“USPTO”) recently allowed our first COVID-19 patent for Tafenoquine. We have optioned or licensed patents involving Celgosivir for the treatment and prevention of Dengue (from the National University of Singapore), COVID-19 &amp; Zika (Florida State University), and have pending patent applications related to Celgosivir for RSV. We have optioned or own manufacturing methods related to Celgosivir. A detailed list of our intellectual property is as follows: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Patents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3153"/>
        <w:gridCol w:w="60"/>
        <w:gridCol w:w="1310"/>
        <w:gridCol w:w="60"/>
        <w:gridCol w:w="880"/>
        <w:gridCol w:w="60"/>
        <w:gridCol w:w="695"/>
        <w:gridCol w:w="60"/>
        <w:gridCol w:w="770"/>
        <w:gridCol w:w="60"/>
        <w:gridCol w:w="1432"/>
        <w:gridCol w:w="60"/>
        <w:gridCol w:w="60"/>
        <w:gridCol w:w="1545"/>
      </w:tblGrid>
      <w:tr>
        <w:trPr/>
        <w:tc>
          <w:tcPr>
            <w:tcW w:w="3153"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sz w:val="20"/>
              </w:rPr>
            </w:pPr>
            <w:r>
              <w:rPr>
                <w:b/>
                <w:sz w:val="20"/>
              </w:rPr>
              <w:t>Patent No.</w:t>
            </w:r>
          </w:p>
        </w:tc>
        <w:tc>
          <w:tcPr>
            <w:tcW w:w="60" w:type="dxa"/>
            <w:tcBorders/>
            <w:tcMar>
              <w:bottom w:w="0" w:type="dxa"/>
            </w:tcMar>
            <w:vAlign w:val="center"/>
          </w:tcPr>
          <w:p>
            <w:pPr>
              <w:pStyle w:val="TableContents"/>
              <w:bidi w:val="0"/>
              <w:spacing w:before="0" w:after="283"/>
              <w:jc w:val="center"/>
              <w:rPr/>
            </w:pPr>
            <w:r>
              <w:rPr/>
              <w:t> </w:t>
            </w:r>
          </w:p>
        </w:tc>
        <w:tc>
          <w:tcPr>
            <w:tcW w:w="880" w:type="dxa"/>
            <w:tcBorders>
              <w:bottom w:val="single" w:sz="12" w:space="0" w:color="000000"/>
            </w:tcBorders>
            <w:vAlign w:val="center"/>
          </w:tcPr>
          <w:p>
            <w:pPr>
              <w:pStyle w:val="TableContents"/>
              <w:bidi w:val="0"/>
              <w:spacing w:before="0" w:after="283"/>
              <w:jc w:val="center"/>
              <w:rPr>
                <w:b/>
                <w:sz w:val="20"/>
              </w:rPr>
            </w:pPr>
            <w:r>
              <w:rPr>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12" w:space="0" w:color="000000"/>
            </w:tcBorders>
            <w:vAlign w:val="center"/>
          </w:tcPr>
          <w:p>
            <w:pPr>
              <w:pStyle w:val="TableContents"/>
              <w:bidi w:val="0"/>
              <w:spacing w:before="0" w:after="283"/>
              <w:jc w:val="center"/>
              <w:rPr>
                <w:b/>
                <w:sz w:val="20"/>
              </w:rPr>
            </w:pPr>
            <w:r>
              <w:rPr>
                <w:b/>
                <w:sz w:val="20"/>
              </w:rPr>
              <w:t>Status</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12" w:space="0" w:color="000000"/>
            </w:tcBorders>
            <w:vAlign w:val="center"/>
          </w:tcPr>
          <w:p>
            <w:pPr>
              <w:pStyle w:val="TableContents"/>
              <w:bidi w:val="0"/>
              <w:spacing w:before="0" w:after="283"/>
              <w:jc w:val="center"/>
              <w:rPr>
                <w:b/>
                <w:sz w:val="20"/>
              </w:rPr>
            </w:pPr>
            <w:r>
              <w:rPr>
                <w:b/>
                <w:sz w:val="20"/>
              </w:rPr>
              <w:t>US Patent Date</w:t>
            </w:r>
          </w:p>
        </w:tc>
        <w:tc>
          <w:tcPr>
            <w:tcW w:w="60" w:type="dxa"/>
            <w:tcBorders/>
            <w:tcMar>
              <w:bottom w:w="0" w:type="dxa"/>
            </w:tcMar>
            <w:vAlign w:val="center"/>
          </w:tcPr>
          <w:p>
            <w:pPr>
              <w:pStyle w:val="TableContents"/>
              <w:bidi w:val="0"/>
              <w:spacing w:before="0" w:after="283"/>
              <w:jc w:val="center"/>
              <w:rPr/>
            </w:pPr>
            <w:r>
              <w:rPr/>
              <w:t> </w:t>
            </w:r>
          </w:p>
        </w:tc>
        <w:tc>
          <w:tcPr>
            <w:tcW w:w="1432" w:type="dxa"/>
            <w:tcBorders>
              <w:bottom w:val="single" w:sz="12" w:space="0" w:color="000000"/>
            </w:tcBorders>
            <w:tcMar>
              <w:bottom w:w="30" w:type="dxa"/>
            </w:tcMar>
            <w:vAlign w:val="center"/>
          </w:tcPr>
          <w:p>
            <w:pPr>
              <w:pStyle w:val="TableContents"/>
              <w:bidi w:val="0"/>
              <w:spacing w:before="0" w:after="283"/>
              <w:jc w:val="center"/>
              <w:rPr>
                <w:b/>
                <w:sz w:val="20"/>
              </w:rPr>
            </w:pPr>
            <w:r>
              <w:rPr>
                <w:b/>
                <w:sz w:val="20"/>
              </w:rPr>
              <w:t>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45"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Estimated/ Anticipated Expiration Date</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Dosing Regimen For Use Of Celgosivir As An Antiviral Therapeutic For Dengue Virus Infections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2013203400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Australia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2013203400+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10-Apr-2033*</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2014228035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2014228035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MY-170991-A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Malaysia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PI2015002372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378015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Mexico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MX/a/2015/013115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11201507254V</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Singapore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11201507254V</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Singapore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10201908089V</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9763921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sz w:val="20"/>
              </w:rPr>
            </w:pPr>
            <w:r>
              <w:rPr>
                <w:sz w:val="20"/>
              </w:rPr>
              <w:t>9/19/2017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14/772,873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Dosing Regimens Of Celgosivir For The Treatment Of Dengue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10517854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sz w:val="20"/>
              </w:rPr>
            </w:pPr>
            <w:r>
              <w:rPr>
                <w:sz w:val="20"/>
              </w:rPr>
              <w:t>12/31/2019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15/706,845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Dosing Regimens Of Celgosivir For The Treatment Of Dengue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11219616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sz w:val="20"/>
              </w:rPr>
            </w:pPr>
            <w:r>
              <w:rPr>
                <w:sz w:val="20"/>
              </w:rPr>
              <w:t>1/11/2022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16/725,387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14-Mar-2034**</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Regimens Of Tafenoquine For Prevention Of Malaria In Malaria-Naïve Subjects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2015358566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2015358566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Regimens Of Tafenoquine For Prevention Of Malaria In Malaria-Naïve Subjects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2968694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Canada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2968694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Regimens Of Tafenoquine For Prevention Of Malaria In Malaria-Naïve Subjects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10342791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sz w:val="20"/>
              </w:rPr>
            </w:pPr>
            <w:r>
              <w:rPr>
                <w:sz w:val="20"/>
              </w:rPr>
              <w:t>7/9/2019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15/532,280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Regimens Of Tafenoquine For Prevention Of Malaria In Malaria-Naive Subjects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10888558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sz w:val="20"/>
              </w:rPr>
            </w:pPr>
            <w:r>
              <w:rPr>
                <w:sz w:val="20"/>
              </w:rPr>
              <w:t>1/12/2021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16/504,533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Regimens Of Tafenoquine For Prevention Of Malaria In Malaria-Naïve Subjects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10201904908Q</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Singapore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10201904908Q</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153" w:type="dxa"/>
            <w:tcBorders/>
            <w:shd w:fill="CCEEFF" w:val="clear"/>
            <w:tcMar>
              <w:bottom w:w="0" w:type="dxa"/>
            </w:tcMar>
            <w:vAlign w:val="center"/>
          </w:tcPr>
          <w:p>
            <w:pPr>
              <w:pStyle w:val="TableContents"/>
              <w:bidi w:val="0"/>
              <w:spacing w:before="0" w:after="283"/>
              <w:jc w:val="left"/>
              <w:rPr>
                <w:sz w:val="20"/>
              </w:rPr>
            </w:pPr>
            <w:r>
              <w:rPr>
                <w:sz w:val="20"/>
              </w:rPr>
              <w:t>Novel Regimens Of Tafenoquine For Prevention Of Malaria In Malaria-Naïve Subjects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0" w:type="dxa"/>
            <w:tcBorders/>
            <w:shd w:fill="CCEEFF" w:val="clear"/>
            <w:tcMar>
              <w:bottom w:w="0" w:type="dxa"/>
            </w:tcMar>
            <w:vAlign w:val="center"/>
          </w:tcPr>
          <w:p>
            <w:pPr>
              <w:pStyle w:val="TableContents"/>
              <w:bidi w:val="0"/>
              <w:spacing w:before="0" w:after="283"/>
              <w:jc w:val="center"/>
              <w:rPr>
                <w:sz w:val="20"/>
              </w:rPr>
            </w:pPr>
            <w:r>
              <w:rPr>
                <w:sz w:val="20"/>
              </w:rPr>
              <w:t>EP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15865264.4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153" w:type="dxa"/>
            <w:tcBorders/>
            <w:shd w:fill="FFFFFF" w:val="clear"/>
            <w:tcMar>
              <w:bottom w:w="0" w:type="dxa"/>
            </w:tcMar>
            <w:vAlign w:val="center"/>
          </w:tcPr>
          <w:p>
            <w:pPr>
              <w:pStyle w:val="TableContents"/>
              <w:bidi w:val="0"/>
              <w:spacing w:before="0" w:after="283"/>
              <w:jc w:val="left"/>
              <w:rPr>
                <w:sz w:val="20"/>
              </w:rPr>
            </w:pPr>
            <w:r>
              <w:rPr>
                <w:sz w:val="20"/>
              </w:rPr>
              <w:t>Novel Regimens Of Tafenoquine For Prevention Of Malaria In Malaria-Naïve Subjects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80" w:type="dxa"/>
            <w:tcBorders/>
            <w:shd w:fill="FFFFFF" w:val="clear"/>
            <w:tcMar>
              <w:bottom w:w="0" w:type="dxa"/>
            </w:tcMar>
            <w:vAlign w:val="center"/>
          </w:tcPr>
          <w:p>
            <w:pPr>
              <w:pStyle w:val="TableContents"/>
              <w:bidi w:val="0"/>
              <w:spacing w:before="0" w:after="283"/>
              <w:jc w:val="center"/>
              <w:rPr>
                <w:sz w:val="20"/>
              </w:rPr>
            </w:pPr>
            <w:r>
              <w:rPr>
                <w:sz w:val="20"/>
              </w:rPr>
              <w:t>Hong Kong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center"/>
              <w:rPr>
                <w:sz w:val="20"/>
              </w:rPr>
            </w:pPr>
            <w:r>
              <w:rPr>
                <w:sz w:val="20"/>
              </w:rPr>
              <w:t>18103081.4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jc w:val="center"/>
              <w:rPr>
                <w:sz w:val="20"/>
              </w:rPr>
            </w:pPr>
            <w:r>
              <w:rPr>
                <w:sz w:val="20"/>
              </w:rPr>
              <w:t>02-Dec-2035*</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3648"/>
        <w:gridCol w:w="60"/>
        <w:gridCol w:w="1070"/>
        <w:gridCol w:w="60"/>
        <w:gridCol w:w="895"/>
        <w:gridCol w:w="60"/>
        <w:gridCol w:w="695"/>
        <w:gridCol w:w="60"/>
        <w:gridCol w:w="712"/>
        <w:gridCol w:w="60"/>
        <w:gridCol w:w="1430"/>
        <w:gridCol w:w="60"/>
        <w:gridCol w:w="60"/>
        <w:gridCol w:w="1335"/>
      </w:tblGrid>
      <w:tr>
        <w:trPr/>
        <w:tc>
          <w:tcPr>
            <w:tcW w:w="3648" w:type="dxa"/>
            <w:tcBorders>
              <w:bottom w:val="single" w:sz="12" w:space="0" w:color="000000"/>
            </w:tcBorders>
            <w:vAlign w:val="center"/>
          </w:tcPr>
          <w:p>
            <w:pPr>
              <w:pStyle w:val="TableContents"/>
              <w:bidi w:val="0"/>
              <w:spacing w:before="0" w:after="283"/>
              <w:ind w:left="0" w:right="0" w:hanging="0"/>
              <w:jc w:val="left"/>
              <w:rPr>
                <w:b/>
                <w:sz w:val="20"/>
              </w:rPr>
            </w:pPr>
            <w:r>
              <w:rPr>
                <w:b/>
                <w:sz w:val="20"/>
              </w:rPr>
              <w:t>Title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070"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Patent No.</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89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Country</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69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Status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12"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US Patent Date</w:t>
            </w:r>
          </w:p>
        </w:tc>
        <w:tc>
          <w:tcPr>
            <w:tcW w:w="6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430" w:type="dxa"/>
            <w:tcBorders>
              <w:bottom w:val="single" w:sz="12" w:space="0" w:color="000000"/>
            </w:tcBorders>
            <w:tcMar>
              <w:bottom w:w="30" w:type="dxa"/>
            </w:tcMar>
            <w:vAlign w:val="center"/>
          </w:tcPr>
          <w:p>
            <w:pPr>
              <w:pStyle w:val="TableContents"/>
              <w:bidi w:val="0"/>
              <w:spacing w:before="0" w:after="283"/>
              <w:ind w:left="0" w:right="0" w:hanging="0"/>
              <w:jc w:val="center"/>
              <w:rPr>
                <w:b/>
                <w:sz w:val="20"/>
              </w:rPr>
            </w:pPr>
            <w:r>
              <w:rPr>
                <w:b/>
                <w:sz w:val="20"/>
              </w:rPr>
              <w:t>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35"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Estimated/ Anticipated Expiration Date</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Regimens Of Tafenoquine For Prevention Of Malaria In Mal2aria-Naive Subjects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11,744,828</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sz w:val="20"/>
              </w:rPr>
            </w:pPr>
            <w:r>
              <w:rPr>
                <w:sz w:val="20"/>
              </w:rPr>
              <w:t>9/5/2023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17/145,530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Novel Regimens Of Tafenoquine For Prevention Of Malaria In Malaria-Naïve Subjects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731813</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New Zealand</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731813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Regimens of Tafenoquine for Prevention of Malaria in Malaria-Naive Subjects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18/240,049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02-Dec-2035**</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Novel Dosing Regimens Of Celgosivir For The Prevention Of Dengue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2016368580</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Australia</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2016368580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09-Dec-2036*</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Novel Dosing Regimens Of Celgosivir For The Prevention Of Dengue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Singapore</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10201912141Y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09-Dec-2036*</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Dosing Regimens Of Celgosivir For The Prevention Of Dengue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11000516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sz w:val="20"/>
              </w:rPr>
            </w:pPr>
            <w:r>
              <w:rPr>
                <w:sz w:val="20"/>
              </w:rPr>
              <w:t>5/11/2021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16/060,945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09-Dec-2036**</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By Administration Of Tafenoquine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21764438.4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Treating And Preventing Pulmonary Infections By Administering Tafenoquine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China</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202180029643.7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Gram-Positive Bacteria, Fungus, Or Virus By Administration Of Tafenoquine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2021231743</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Australia</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2021231743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Gram-Positive Bacteria, Fungus, Or Virus By Administration Of Tafenoquine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Hong Kong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62023078645.6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Gram-Positive Bacteria, Fungus, Or Virus By Administration Of Tafenoquine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11,633,391</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sz w:val="20"/>
              </w:rPr>
            </w:pPr>
            <w:r>
              <w:rPr>
                <w:sz w:val="20"/>
              </w:rPr>
              <w:t>4/25/2023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17/189,544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31-May-2041**</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Gram-Positive Bacteria, Fungus, Or Virus By Administration Of Tafenoquine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18/300,805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Fungus By Administration Of Tafenoquine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12383546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sz w:val="20"/>
              </w:rPr>
            </w:pPr>
            <w:r>
              <w:rPr>
                <w:sz w:val="20"/>
              </w:rPr>
              <w:t>8/12/2025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17/683,679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Sars-Cov-2 Virus By Administration Of Tafenoquine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8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12"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17/683,718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02-Mar-2041**</w:t>
            </w:r>
          </w:p>
        </w:tc>
      </w:tr>
      <w:tr>
        <w:trPr/>
        <w:tc>
          <w:tcPr>
            <w:tcW w:w="3648"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Lung Infections Caused By Fungus By Administration Of Tafenoquine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8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12"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19/294531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35" w:type="dxa"/>
            <w:tcBorders/>
            <w:shd w:fill="CCEEFF" w:val="clear"/>
            <w:tcMar>
              <w:bottom w:w="0" w:type="dxa"/>
            </w:tcMar>
            <w:vAlign w:val="center"/>
          </w:tcPr>
          <w:p>
            <w:pPr>
              <w:pStyle w:val="TableContents"/>
              <w:bidi w:val="0"/>
              <w:spacing w:before="0" w:after="283"/>
              <w:jc w:val="center"/>
              <w:rPr>
                <w:sz w:val="20"/>
              </w:rPr>
            </w:pPr>
            <w:r>
              <w:rPr>
                <w:sz w:val="20"/>
              </w:rPr>
              <w:t>02-Mar-2041**</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3804"/>
        <w:gridCol w:w="60"/>
        <w:gridCol w:w="950"/>
        <w:gridCol w:w="60"/>
        <w:gridCol w:w="755"/>
        <w:gridCol w:w="60"/>
        <w:gridCol w:w="695"/>
        <w:gridCol w:w="60"/>
        <w:gridCol w:w="735"/>
        <w:gridCol w:w="60"/>
        <w:gridCol w:w="1430"/>
        <w:gridCol w:w="60"/>
        <w:gridCol w:w="60"/>
        <w:gridCol w:w="1416"/>
      </w:tblGrid>
      <w:tr>
        <w:trPr/>
        <w:tc>
          <w:tcPr>
            <w:tcW w:w="3804"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283"/>
              <w:jc w:val="center"/>
              <w:rPr>
                <w:b/>
                <w:sz w:val="20"/>
              </w:rPr>
            </w:pPr>
            <w:r>
              <w:rPr>
                <w:b/>
                <w:sz w:val="20"/>
              </w:rPr>
              <w:t>Patent No.</w:t>
            </w:r>
          </w:p>
        </w:tc>
        <w:tc>
          <w:tcPr>
            <w:tcW w:w="60" w:type="dxa"/>
            <w:tcBorders/>
            <w:tcMar>
              <w:bottom w:w="0" w:type="dxa"/>
            </w:tcMar>
            <w:vAlign w:val="center"/>
          </w:tcPr>
          <w:p>
            <w:pPr>
              <w:pStyle w:val="TableContents"/>
              <w:bidi w:val="0"/>
              <w:spacing w:before="0" w:after="283"/>
              <w:jc w:val="center"/>
              <w:rPr/>
            </w:pPr>
            <w:r>
              <w:rPr/>
              <w:t> </w:t>
            </w:r>
          </w:p>
        </w:tc>
        <w:tc>
          <w:tcPr>
            <w:tcW w:w="755" w:type="dxa"/>
            <w:tcBorders>
              <w:bottom w:val="single" w:sz="12" w:space="0" w:color="000000"/>
            </w:tcBorders>
            <w:vAlign w:val="center"/>
          </w:tcPr>
          <w:p>
            <w:pPr>
              <w:pStyle w:val="TableContents"/>
              <w:bidi w:val="0"/>
              <w:spacing w:before="0" w:after="283"/>
              <w:jc w:val="center"/>
              <w:rPr>
                <w:b/>
                <w:sz w:val="20"/>
              </w:rPr>
            </w:pPr>
            <w:r>
              <w:rPr>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12" w:space="0" w:color="000000"/>
            </w:tcBorders>
            <w:vAlign w:val="center"/>
          </w:tcPr>
          <w:p>
            <w:pPr>
              <w:pStyle w:val="TableContents"/>
              <w:bidi w:val="0"/>
              <w:spacing w:before="0" w:after="283"/>
              <w:jc w:val="center"/>
              <w:rPr>
                <w:b/>
                <w:sz w:val="20"/>
              </w:rPr>
            </w:pPr>
            <w:r>
              <w:rPr>
                <w:b/>
                <w:sz w:val="20"/>
              </w:rPr>
              <w:t>Status</w:t>
            </w:r>
          </w:p>
        </w:tc>
        <w:tc>
          <w:tcPr>
            <w:tcW w:w="60" w:type="dxa"/>
            <w:tcBorders/>
            <w:tcMar>
              <w:bottom w:w="0" w:type="dxa"/>
            </w:tcMar>
            <w:vAlign w:val="center"/>
          </w:tcPr>
          <w:p>
            <w:pPr>
              <w:pStyle w:val="TableContents"/>
              <w:bidi w:val="0"/>
              <w:spacing w:before="0" w:after="283"/>
              <w:jc w:val="center"/>
              <w:rPr/>
            </w:pPr>
            <w:r>
              <w:rPr/>
              <w:t> </w:t>
            </w:r>
          </w:p>
        </w:tc>
        <w:tc>
          <w:tcPr>
            <w:tcW w:w="735" w:type="dxa"/>
            <w:tcBorders>
              <w:bottom w:val="single" w:sz="12" w:space="0" w:color="000000"/>
            </w:tcBorders>
            <w:vAlign w:val="center"/>
          </w:tcPr>
          <w:p>
            <w:pPr>
              <w:pStyle w:val="TableContents"/>
              <w:bidi w:val="0"/>
              <w:spacing w:before="0" w:after="283"/>
              <w:jc w:val="center"/>
              <w:rPr>
                <w:b/>
                <w:sz w:val="20"/>
              </w:rPr>
            </w:pPr>
            <w:r>
              <w:rPr>
                <w:b/>
                <w:sz w:val="20"/>
              </w:rPr>
              <w:t>US Patent Date</w:t>
            </w:r>
          </w:p>
        </w:tc>
        <w:tc>
          <w:tcPr>
            <w:tcW w:w="60" w:type="dxa"/>
            <w:tcBorders/>
            <w:tcMar>
              <w:bottom w:w="0" w:type="dxa"/>
            </w:tcMar>
            <w:vAlign w:val="center"/>
          </w:tcPr>
          <w:p>
            <w:pPr>
              <w:pStyle w:val="TableContents"/>
              <w:bidi w:val="0"/>
              <w:spacing w:before="0" w:after="283"/>
              <w:jc w:val="center"/>
              <w:rPr/>
            </w:pPr>
            <w:r>
              <w:rPr/>
              <w:t> </w:t>
            </w:r>
          </w:p>
        </w:tc>
        <w:tc>
          <w:tcPr>
            <w:tcW w:w="1430" w:type="dxa"/>
            <w:tcBorders>
              <w:bottom w:val="single" w:sz="12" w:space="0" w:color="000000"/>
            </w:tcBorders>
            <w:vAlign w:val="center"/>
          </w:tcPr>
          <w:p>
            <w:pPr>
              <w:pStyle w:val="TableContents"/>
              <w:bidi w:val="0"/>
              <w:spacing w:before="0" w:after="283"/>
              <w:jc w:val="center"/>
              <w:rPr>
                <w:b/>
                <w:sz w:val="20"/>
              </w:rPr>
            </w:pPr>
            <w:r>
              <w:rPr>
                <w:b/>
                <w:sz w:val="20"/>
              </w:rPr>
              <w:t>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16"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Estimated/ Anticipated Expiration Date</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Treatment Of Human Coronavirus Infections Using Alpha-Glucosidase Glycoprotein Processing Inhibitors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11369592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sz w:val="20"/>
              </w:rPr>
            </w:pPr>
            <w:r>
              <w:rPr>
                <w:sz w:val="20"/>
              </w:rPr>
              <w:t>6/28/2022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17/180,140#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19-Feb-2041**</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Treatment Of Human Coronavirus Infections Using Alpha-Glucosidase Glycoprotein Processing Inhibitors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17/664,693#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19-Feb-2041**</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Treatment Of Human Coronavirus Infections Using Alpha-Glucosidase Glycoprotein Processing Inhibitors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EP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2021757552#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19-Feb-2041*</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To Treat Respiratory Infection Utilizing Castanospermine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sz w:val="20"/>
              </w:rPr>
            </w:pPr>
            <w:r>
              <w:rPr>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2023304186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05-Jul-2043*</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Methods To Treat Respiratory Infection Utilizing Castanospermine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12,569,473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sz w:val="20"/>
              </w:rPr>
            </w:pPr>
            <w:r>
              <w:rPr>
                <w:sz w:val="20"/>
              </w:rPr>
              <w:t>3/10/2026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18/218,202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05-Jul-2043**</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To Treat Respiratory Infection Utilizing Castanospermine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i/>
                <w:sz w:val="20"/>
              </w:rPr>
            </w:pPr>
            <w:r>
              <w:rPr>
                <w:i/>
                <w:sz w:val="20"/>
              </w:rPr>
              <w:t>China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202380053343.1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05-Jul-2043*</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Methods To Treat Respiratory Infection Utilizing Castanospermine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EP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23836044.4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05-Jul-2043*</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To Treat Respiratory Infection Utilizing Castanospermine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i/>
                <w:sz w:val="20"/>
              </w:rPr>
            </w:pPr>
            <w:r>
              <w:rPr>
                <w:i/>
                <w:sz w:val="20"/>
              </w:rPr>
              <w:t>Canada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3261048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05-Jul-2043*</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Methods For The Treatment And Prevention Of Diseases Or Infections With MCP-1 Involvement By Administration Of Tafenoquine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18/375,070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30-Sep-2043**</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18/640,611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Canada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3289679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sz w:val="20"/>
              </w:rPr>
            </w:pPr>
            <w:r>
              <w:rPr>
                <w:sz w:val="20"/>
              </w:rPr>
              <w:t>China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202480041674.8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EP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24793579.4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sz w:val="20"/>
              </w:rPr>
            </w:pPr>
            <w:r>
              <w:rPr>
                <w:sz w:val="20"/>
              </w:rPr>
              <w:t>Japan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2025-561977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804" w:type="dxa"/>
            <w:tcBorders/>
            <w:shd w:fill="CCEE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5" w:type="dxa"/>
            <w:tcBorders/>
            <w:shd w:fill="CCEEFF" w:val="clear"/>
            <w:tcMar>
              <w:bottom w:w="0" w:type="dxa"/>
            </w:tcMar>
            <w:vAlign w:val="center"/>
          </w:tcPr>
          <w:p>
            <w:pPr>
              <w:pStyle w:val="TableContents"/>
              <w:bidi w:val="0"/>
              <w:spacing w:before="0" w:after="283"/>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18/640,657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804" w:type="dxa"/>
            <w:tcBorders/>
            <w:shd w:fill="FFFFFF" w:val="clear"/>
            <w:tcMar>
              <w:bottom w:w="0" w:type="dxa"/>
            </w:tcMar>
            <w:vAlign w:val="center"/>
          </w:tcPr>
          <w:p>
            <w:pPr>
              <w:pStyle w:val="TableContents"/>
              <w:bidi w:val="0"/>
              <w:spacing w:before="0" w:after="283"/>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sz w:val="20"/>
              </w:rPr>
            </w:pPr>
            <w:r>
              <w:rPr>
                <w:sz w:val="20"/>
              </w:rPr>
              <w:t>Canada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 w:type="dxa"/>
            <w:tcBorders/>
            <w:shd w:fill="FFFFFF" w:val="clear"/>
            <w:tcMar>
              <w:bottom w:w="0" w:type="dxa"/>
            </w:tcMar>
            <w:vAlign w:val="center"/>
          </w:tcPr>
          <w:p>
            <w:pPr>
              <w:pStyle w:val="TableContents"/>
              <w:bidi w:val="0"/>
              <w:spacing w:before="0" w:after="283"/>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sz w:val="20"/>
              </w:rPr>
            </w:pPr>
            <w:r>
              <w:rPr>
                <w:sz w:val="20"/>
              </w:rPr>
              <w:t>3289735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6" w:type="dxa"/>
            <w:tcBorders/>
            <w:shd w:fill="FFFFFF" w:val="clear"/>
            <w:tcMar>
              <w:bottom w:w="0" w:type="dxa"/>
            </w:tcMar>
            <w:vAlign w:val="center"/>
          </w:tcPr>
          <w:p>
            <w:pPr>
              <w:pStyle w:val="TableContents"/>
              <w:bidi w:val="0"/>
              <w:spacing w:before="0" w:after="283"/>
              <w:jc w:val="center"/>
              <w:rPr>
                <w:sz w:val="20"/>
              </w:rPr>
            </w:pPr>
            <w:r>
              <w:rPr>
                <w:sz w:val="20"/>
              </w:rPr>
              <w:t>19-Apr-2044*</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3210"/>
        <w:gridCol w:w="60"/>
        <w:gridCol w:w="981"/>
        <w:gridCol w:w="60"/>
        <w:gridCol w:w="725"/>
        <w:gridCol w:w="60"/>
        <w:gridCol w:w="695"/>
        <w:gridCol w:w="60"/>
        <w:gridCol w:w="774"/>
        <w:gridCol w:w="60"/>
        <w:gridCol w:w="1841"/>
        <w:gridCol w:w="60"/>
        <w:gridCol w:w="60"/>
        <w:gridCol w:w="1559"/>
      </w:tblGrid>
      <w:tr>
        <w:trPr/>
        <w:tc>
          <w:tcPr>
            <w:tcW w:w="3210" w:type="dxa"/>
            <w:tcBorders>
              <w:bottom w:val="single" w:sz="12" w:space="0" w:color="000000"/>
            </w:tcBorders>
            <w:vAlign w:val="center"/>
          </w:tcPr>
          <w:p>
            <w:pPr>
              <w:pStyle w:val="TableContents"/>
              <w:bidi w:val="0"/>
              <w:spacing w:before="0" w:after="283"/>
              <w:ind w:left="0" w:right="0" w:hanging="0"/>
              <w:jc w:val="left"/>
              <w:rPr>
                <w:b/>
                <w:sz w:val="20"/>
              </w:rPr>
            </w:pPr>
            <w:r>
              <w:rPr>
                <w:b/>
                <w:sz w:val="20"/>
              </w:rPr>
              <w:t>Title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81"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Patent No.</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2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Country</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69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Status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4"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US Patent Date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841"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Application No.</w:t>
            </w:r>
          </w:p>
        </w:tc>
        <w:tc>
          <w:tcPr>
            <w:tcW w:w="6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59"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Estimated/ Anticipated Expiration Date</w:t>
            </w:r>
          </w:p>
        </w:tc>
      </w:tr>
      <w:tr>
        <w:trPr/>
        <w:tc>
          <w:tcPr>
            <w:tcW w:w="3210"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2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China</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4"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National Phase of PCT/24/025458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9"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2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4"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24793592.7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9"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2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Japan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4"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2025-561995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9"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2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4"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18/640,695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9"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2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Canada</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4"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3289731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9"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25" w:type="dxa"/>
            <w:tcBorders/>
            <w:shd w:fill="FFFFFF" w:val="clear"/>
            <w:tcMar>
              <w:bottom w:w="0" w:type="dxa"/>
            </w:tcMar>
            <w:vAlign w:val="center"/>
          </w:tcPr>
          <w:p>
            <w:pPr>
              <w:pStyle w:val="TableContents"/>
              <w:bidi w:val="0"/>
              <w:spacing w:before="0" w:after="283"/>
              <w:ind w:left="0" w:right="0" w:hanging="0"/>
              <w:jc w:val="center"/>
              <w:rPr>
                <w:i/>
                <w:sz w:val="20"/>
              </w:rPr>
            </w:pPr>
            <w:r>
              <w:rPr>
                <w:i/>
                <w:sz w:val="20"/>
              </w:rPr>
              <w:t>China</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4"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202480041665.9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9"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CCEE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2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4"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24793598.4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9"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FFFFFF" w:val="clear"/>
            <w:tcMar>
              <w:bottom w:w="0" w:type="dxa"/>
            </w:tcMar>
            <w:vAlign w:val="center"/>
          </w:tcPr>
          <w:p>
            <w:pPr>
              <w:pStyle w:val="TableContents"/>
              <w:bidi w:val="0"/>
              <w:spacing w:before="0" w:after="283"/>
              <w:ind w:left="0" w:right="0" w:hanging="0"/>
              <w:jc w:val="left"/>
              <w:rPr>
                <w:sz w:val="20"/>
              </w:rPr>
            </w:pPr>
            <w:r>
              <w:rPr>
                <w:sz w:val="20"/>
              </w:rPr>
              <w:t>Methods For The Treatment And Prevention of Non-Viral Tick-Borne Diseases And Symptoms Thereof</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25" w:type="dxa"/>
            <w:tcBorders/>
            <w:shd w:fill="FFFFFF" w:val="clear"/>
            <w:tcMar>
              <w:bottom w:w="0" w:type="dxa"/>
            </w:tcMar>
            <w:vAlign w:val="center"/>
          </w:tcPr>
          <w:p>
            <w:pPr>
              <w:pStyle w:val="TableContents"/>
              <w:bidi w:val="0"/>
              <w:spacing w:before="0" w:after="283"/>
              <w:ind w:left="0" w:right="0" w:hanging="0"/>
              <w:jc w:val="center"/>
              <w:rPr>
                <w:i/>
                <w:sz w:val="20"/>
              </w:rPr>
            </w:pPr>
            <w:r>
              <w:rPr>
                <w:i/>
                <w:sz w:val="20"/>
              </w:rPr>
              <w:t>Japan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Pending</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4"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2025-561996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9"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19-Apr-2044*</w:t>
            </w:r>
          </w:p>
        </w:tc>
      </w:tr>
      <w:tr>
        <w:trPr/>
        <w:tc>
          <w:tcPr>
            <w:tcW w:w="3210" w:type="dxa"/>
            <w:tcBorders/>
            <w:shd w:fill="CCEEFF" w:val="clear"/>
            <w:tcMar>
              <w:bottom w:w="0" w:type="dxa"/>
            </w:tcMar>
            <w:vAlign w:val="center"/>
          </w:tcPr>
          <w:p>
            <w:pPr>
              <w:pStyle w:val="TableContents"/>
              <w:bidi w:val="0"/>
              <w:spacing w:before="0" w:after="283"/>
              <w:ind w:left="0" w:right="0" w:hanging="0"/>
              <w:jc w:val="left"/>
              <w:rPr>
                <w:sz w:val="20"/>
              </w:rPr>
            </w:pPr>
            <w:r>
              <w:rPr>
                <w:sz w:val="20"/>
              </w:rPr>
              <w:t>Treatment Of Zika Virus Infections Using Alpha Glucosidase Inhibitors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10,328,061+</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2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4" w:type="dxa"/>
            <w:tcBorders/>
            <w:shd w:fill="CCEEFF" w:val="clear"/>
            <w:tcMar>
              <w:bottom w:w="0" w:type="dxa"/>
            </w:tcMar>
            <w:vAlign w:val="center"/>
          </w:tcPr>
          <w:p>
            <w:pPr>
              <w:pStyle w:val="TableContents"/>
              <w:bidi w:val="0"/>
              <w:spacing w:before="0" w:after="283"/>
              <w:ind w:left="0" w:right="0" w:hanging="0"/>
              <w:jc w:val="center"/>
              <w:rPr>
                <w:sz w:val="20"/>
              </w:rPr>
            </w:pPr>
            <w:r>
              <w:rPr>
                <w:sz w:val="20"/>
              </w:rPr>
              <w:t>6-25-2019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1"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15/584,952+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9"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02-May-2037</w:t>
            </w:r>
          </w:p>
        </w:tc>
      </w:tr>
      <w:tr>
        <w:trPr/>
        <w:tc>
          <w:tcPr>
            <w:tcW w:w="3210" w:type="dxa"/>
            <w:tcBorders/>
            <w:shd w:fill="FFFFFF" w:val="clear"/>
            <w:tcMar>
              <w:bottom w:w="0" w:type="dxa"/>
            </w:tcMar>
            <w:vAlign w:val="center"/>
          </w:tcPr>
          <w:p>
            <w:pPr>
              <w:pStyle w:val="TableContents"/>
              <w:bidi w:val="0"/>
              <w:spacing w:before="0" w:after="283"/>
              <w:ind w:left="0" w:right="0" w:hanging="0"/>
              <w:jc w:val="left"/>
              <w:rPr>
                <w:sz w:val="20"/>
              </w:rPr>
            </w:pPr>
            <w:r>
              <w:rPr>
                <w:sz w:val="20"/>
              </w:rPr>
              <w:t>Treatment Of Zika Virus Infections Using Alpha Glucosidase Inhibitors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10,561,642+</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25" w:type="dxa"/>
            <w:tcBorders/>
            <w:shd w:fill="FFFFFF" w:val="clear"/>
            <w:tcMar>
              <w:bottom w:w="0" w:type="dxa"/>
            </w:tcMar>
            <w:vAlign w:val="center"/>
          </w:tcPr>
          <w:p>
            <w:pPr>
              <w:pStyle w:val="TableContents"/>
              <w:bidi w:val="0"/>
              <w:spacing w:before="0" w:after="283"/>
              <w:ind w:left="0" w:right="0" w:hanging="0"/>
              <w:jc w:val="center"/>
              <w:rPr>
                <w:sz w:val="20"/>
              </w:rPr>
            </w:pPr>
            <w:r>
              <w:rPr>
                <w:sz w:val="20"/>
              </w:rPr>
              <w:t>US</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4" w:type="dxa"/>
            <w:tcBorders/>
            <w:shd w:fill="FFFFFF" w:val="clear"/>
            <w:tcMar>
              <w:bottom w:w="0" w:type="dxa"/>
            </w:tcMar>
            <w:vAlign w:val="center"/>
          </w:tcPr>
          <w:p>
            <w:pPr>
              <w:pStyle w:val="TableContents"/>
              <w:bidi w:val="0"/>
              <w:spacing w:before="0" w:after="283"/>
              <w:ind w:left="0" w:right="0" w:hanging="0"/>
              <w:jc w:val="center"/>
              <w:rPr>
                <w:sz w:val="20"/>
              </w:rPr>
            </w:pPr>
            <w:r>
              <w:rPr>
                <w:sz w:val="20"/>
              </w:rPr>
              <w:t>2-18-2020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1" w:type="dxa"/>
            <w:tcBorders/>
            <w:shd w:fill="FFFFFF" w:val="clear"/>
            <w:tcMar>
              <w:bottom w:w="0" w:type="dxa"/>
            </w:tcMar>
            <w:vAlign w:val="center"/>
          </w:tcPr>
          <w:p>
            <w:pPr>
              <w:pStyle w:val="TableContents"/>
              <w:bidi w:val="0"/>
              <w:spacing w:before="0" w:after="283"/>
              <w:ind w:left="0" w:right="0" w:hanging="0"/>
              <w:jc w:val="center"/>
              <w:rPr>
                <w:sz w:val="20"/>
              </w:rPr>
            </w:pPr>
            <w:r>
              <w:rPr>
                <w:sz w:val="20"/>
              </w:rPr>
              <w:t>15/856,377+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9" w:type="dxa"/>
            <w:tcBorders/>
            <w:shd w:fill="FFFFFF" w:val="clear"/>
            <w:tcMar>
              <w:bottom w:w="0" w:type="dxa"/>
            </w:tcMar>
            <w:vAlign w:val="center"/>
          </w:tcPr>
          <w:p>
            <w:pPr>
              <w:pStyle w:val="TableContents"/>
              <w:bidi w:val="0"/>
              <w:spacing w:before="0" w:after="283"/>
              <w:jc w:val="center"/>
              <w:rPr>
                <w:sz w:val="20"/>
              </w:rPr>
            </w:pPr>
            <w:r>
              <w:rPr>
                <w:sz w:val="20"/>
              </w:rPr>
              <w:t>02-May-2037</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sz w:val="20"/>
              </w:rPr>
            </w:pPr>
            <w:r>
              <w:rPr>
                <w:sz w:val="20"/>
              </w:rPr>
              <w:t>* =</w:t>
            </w:r>
          </w:p>
        </w:tc>
        <w:tc>
          <w:tcPr>
            <w:tcW w:w="10000" w:type="dxa"/>
            <w:tcBorders/>
            <w:vAlign w:val="center"/>
          </w:tcPr>
          <w:p>
            <w:pPr>
              <w:pStyle w:val="TableContents"/>
              <w:bidi w:val="0"/>
              <w:spacing w:before="0" w:after="283"/>
              <w:jc w:val="both"/>
              <w:rPr>
                <w:sz w:val="20"/>
              </w:rPr>
            </w:pPr>
            <w:r>
              <w:rPr>
                <w:sz w:val="20"/>
              </w:rPr>
              <w:t>For foreign patents and applications, the estimated and/or anticipated patent expiration is the date that is twenty years from the PCT filing date. For all issued Australian patents, this estimated date was also confirmed through the Australian patent office web database.</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b/>
                <w:sz w:val="20"/>
              </w:rPr>
            </w:pPr>
            <w:r>
              <w:rPr>
                <w:b/>
                <w:sz w:val="20"/>
              </w:rPr>
              <w:t>** =</w:t>
            </w:r>
          </w:p>
        </w:tc>
        <w:tc>
          <w:tcPr>
            <w:tcW w:w="10012" w:type="dxa"/>
            <w:tcBorders/>
            <w:vAlign w:val="center"/>
          </w:tcPr>
          <w:p>
            <w:pPr>
              <w:pStyle w:val="TableContents"/>
              <w:bidi w:val="0"/>
              <w:spacing w:before="0" w:after="283"/>
              <w:jc w:val="both"/>
              <w:rPr>
                <w:sz w:val="20"/>
              </w:rPr>
            </w:pPr>
            <w:r>
              <w:rPr>
                <w:sz w:val="20"/>
              </w:rPr>
              <w:t>For issued U.S. patents, the estimated patent expiration was calculated using information from the front cover of the patent, </w:t>
            </w:r>
            <w:r>
              <w:rPr>
                <w:i/>
                <w:sz w:val="20"/>
              </w:rPr>
              <w:t>i.e.</w:t>
            </w:r>
            <w:r>
              <w:rPr>
                <w:sz w:val="20"/>
              </w:rPr>
              <w:t>, 20 years from the date of the nonprovisional filing plus any listed Patent Term Adjustment less any time disclaimed through a Terminal Disclaimer. For pending U.S. applications, the anticipated patent expiration is the date twenty years from the earliest nonprovisional filing date and does not account for possible Patent Term Adjustment (PTA), Patent Term Extension (PTE), or Terminal Disclaimers.</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ind w:left="0" w:right="0" w:hanging="0"/>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sz w:val="20"/>
              </w:rPr>
            </w:pPr>
            <w:r>
              <w:rPr>
                <w:b/>
                <w:position w:val="7"/>
                <w:sz w:val="16"/>
                <w:sz w:val="20"/>
              </w:rPr>
              <w:t>&amp;</w:t>
            </w:r>
            <w:r>
              <w:rPr>
                <w:sz w:val="20"/>
              </w:rPr>
              <w:t> =</w:t>
            </w:r>
          </w:p>
        </w:tc>
        <w:tc>
          <w:tcPr>
            <w:tcW w:w="9885" w:type="dxa"/>
            <w:tcBorders/>
            <w:vAlign w:val="center"/>
          </w:tcPr>
          <w:p>
            <w:pPr>
              <w:pStyle w:val="TableContents"/>
              <w:bidi w:val="0"/>
              <w:spacing w:before="0" w:after="283"/>
              <w:jc w:val="both"/>
              <w:rPr>
                <w:sz w:val="20"/>
              </w:rPr>
            </w:pPr>
            <w:r>
              <w:rPr>
                <w:sz w:val="20"/>
              </w:rPr>
              <w:t>For U.S. provisional applications that are not yet the subject of a nonprovisional or PCT application, the anticipated patent expiration was determined using the assumption that a non-provisional application or PCT will be filed one year after filing the provisional application with a term lasting twenty years from the date of that nonprovisional or PCT filing. This does not account for possible Patent Term Adjustment (PTA), Patent Term Extension (PTE), or Terminal Disclaimers.</w:t>
            </w:r>
          </w:p>
        </w:tc>
      </w:tr>
    </w:tbl>
    <w:p>
      <w:pPr>
        <w:pStyle w:val="TextBody"/>
        <w:bidi w:val="0"/>
        <w:jc w:val="left"/>
        <w:rPr>
          <w:bdr w:val="single" w:sz="12" w:space="1" w:color="000000"/>
        </w:rPr>
      </w:pPr>
      <w:r>
        <w:rPr>
          <w:bdr w:val="single" w:sz="12" w:space="1" w:color="000000"/>
        </w:rPr>
        <w:t> </w:t>
      </w:r>
    </w:p>
    <w:tbl>
      <w:tblPr>
        <w:tblW w:w="9085" w:type="dxa"/>
        <w:jc w:val="left"/>
        <w:tblInd w:w="0" w:type="dxa"/>
        <w:tblLayout w:type="fixed"/>
        <w:tblCellMar>
          <w:top w:w="0" w:type="dxa"/>
          <w:left w:w="0" w:type="dxa"/>
          <w:bottom w:w="0" w:type="dxa"/>
          <w:right w:w="0" w:type="dxa"/>
        </w:tblCellMar>
      </w:tblPr>
      <w:tblGrid>
        <w:gridCol w:w="275"/>
        <w:gridCol w:w="8810"/>
      </w:tblGrid>
      <w:tr>
        <w:trPr/>
        <w:tc>
          <w:tcPr>
            <w:tcW w:w="275" w:type="dxa"/>
            <w:tcBorders/>
            <w:vAlign w:val="center"/>
          </w:tcPr>
          <w:p>
            <w:pPr>
              <w:pStyle w:val="TableContents"/>
              <w:bidi w:val="0"/>
              <w:spacing w:before="0" w:after="283"/>
              <w:jc w:val="left"/>
              <w:rPr>
                <w:b/>
                <w:sz w:val="20"/>
              </w:rPr>
            </w:pPr>
            <w:r>
              <w:rPr>
                <w:b/>
                <w:position w:val="7"/>
                <w:sz w:val="16"/>
                <w:sz w:val="20"/>
              </w:rPr>
              <w:t>+</w:t>
            </w:r>
            <w:r>
              <w:rPr>
                <w:b/>
                <w:sz w:val="20"/>
              </w:rPr>
              <w:t> =</w:t>
            </w:r>
          </w:p>
        </w:tc>
        <w:tc>
          <w:tcPr>
            <w:tcW w:w="8810" w:type="dxa"/>
            <w:tcBorders/>
            <w:vAlign w:val="center"/>
          </w:tcPr>
          <w:p>
            <w:pPr>
              <w:pStyle w:val="TableContents"/>
              <w:bidi w:val="0"/>
              <w:spacing w:before="0" w:after="283"/>
              <w:jc w:val="both"/>
              <w:rPr>
                <w:sz w:val="20"/>
              </w:rPr>
            </w:pPr>
            <w:r>
              <w:rPr>
                <w:sz w:val="20"/>
              </w:rPr>
              <w:t>60 Degrees Pharmaceuticals, Inc. is not a listed Applicant and Geoffrey S. Dow, Ph.D. is not a listed inventor.</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patents not designated with a “+” list Geoffrey S. Dow, Ph.D. as an inventor.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patents not designated with a “+” or a “#” list 60 Degrees Pharmaceuticals, Inc. as an applicant.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estimated patent expiration dates and anticipated patent expiration assume payment of any maintenance/annuity fees during the patent term.</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Trademarks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95" w:type="dxa"/>
        <w:jc w:val="left"/>
        <w:tblInd w:w="0" w:type="dxa"/>
        <w:tblLayout w:type="fixed"/>
        <w:tblCellMar>
          <w:top w:w="0" w:type="dxa"/>
          <w:left w:w="0" w:type="dxa"/>
          <w:bottom w:w="28" w:type="dxa"/>
          <w:right w:w="0" w:type="dxa"/>
        </w:tblCellMar>
      </w:tblPr>
      <w:tblGrid>
        <w:gridCol w:w="1160"/>
        <w:gridCol w:w="60"/>
        <w:gridCol w:w="965"/>
        <w:gridCol w:w="60"/>
        <w:gridCol w:w="965"/>
        <w:gridCol w:w="60"/>
        <w:gridCol w:w="1310"/>
        <w:gridCol w:w="60"/>
        <w:gridCol w:w="455"/>
        <w:gridCol w:w="60"/>
        <w:gridCol w:w="1070"/>
        <w:gridCol w:w="60"/>
        <w:gridCol w:w="1550"/>
        <w:gridCol w:w="60"/>
        <w:gridCol w:w="815"/>
        <w:gridCol w:w="60"/>
        <w:gridCol w:w="455"/>
        <w:gridCol w:w="60"/>
        <w:gridCol w:w="1010"/>
      </w:tblGrid>
      <w:tr>
        <w:trPr/>
        <w:tc>
          <w:tcPr>
            <w:tcW w:w="1160" w:type="dxa"/>
            <w:tcBorders>
              <w:bottom w:val="single" w:sz="12" w:space="0" w:color="000000"/>
            </w:tcBorders>
            <w:vAlign w:val="center"/>
          </w:tcPr>
          <w:p>
            <w:pPr>
              <w:pStyle w:val="TableContents"/>
              <w:bidi w:val="0"/>
              <w:spacing w:before="0" w:after="283"/>
              <w:jc w:val="left"/>
              <w:rPr>
                <w:b/>
                <w:sz w:val="20"/>
              </w:rPr>
            </w:pPr>
            <w:r>
              <w:rPr>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b/>
                <w:sz w:val="20"/>
              </w:rPr>
            </w:pPr>
            <w:r>
              <w:rPr>
                <w:b/>
                <w:sz w:val="20"/>
              </w:rPr>
              <w:t>Mark</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b/>
                <w:sz w:val="20"/>
              </w:rPr>
            </w:pPr>
            <w:r>
              <w:rPr>
                <w:b/>
                <w:sz w:val="20"/>
              </w:rPr>
              <w:t>Status</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sz w:val="20"/>
              </w:rPr>
            </w:pPr>
            <w:r>
              <w:rPr>
                <w:b/>
                <w:sz w:val="20"/>
              </w:rPr>
              <w:t>Application Number</w:t>
            </w:r>
          </w:p>
        </w:tc>
        <w:tc>
          <w:tcPr>
            <w:tcW w:w="60" w:type="dxa"/>
            <w:tcBorders/>
            <w:tcMar>
              <w:bottom w:w="0" w:type="dxa"/>
            </w:tcMar>
            <w:vAlign w:val="center"/>
          </w:tcPr>
          <w:p>
            <w:pPr>
              <w:pStyle w:val="TableContents"/>
              <w:bidi w:val="0"/>
              <w:spacing w:before="0" w:after="283"/>
              <w:jc w:val="center"/>
              <w:rPr/>
            </w:pPr>
            <w:r>
              <w:rPr/>
              <w:t> </w:t>
            </w:r>
          </w:p>
        </w:tc>
        <w:tc>
          <w:tcPr>
            <w:tcW w:w="455" w:type="dxa"/>
            <w:tcBorders>
              <w:bottom w:val="single" w:sz="12" w:space="0" w:color="000000"/>
            </w:tcBorders>
            <w:vAlign w:val="center"/>
          </w:tcPr>
          <w:p>
            <w:pPr>
              <w:pStyle w:val="TableContents"/>
              <w:bidi w:val="0"/>
              <w:spacing w:before="0" w:after="283"/>
              <w:jc w:val="center"/>
              <w:rPr>
                <w:b/>
                <w:sz w:val="20"/>
              </w:rPr>
            </w:pPr>
            <w:r>
              <w:rPr>
                <w:b/>
                <w:sz w:val="20"/>
              </w:rPr>
              <w:t>Date Filed</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b/>
                <w:sz w:val="20"/>
              </w:rPr>
            </w:pPr>
            <w:r>
              <w:rPr>
                <w:b/>
                <w:sz w:val="20"/>
              </w:rPr>
              <w:t>Registration Date</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b/>
                <w:sz w:val="20"/>
              </w:rPr>
            </w:pPr>
            <w:r>
              <w:rPr>
                <w:b/>
                <w:sz w:val="20"/>
              </w:rPr>
              <w:t>Registration Number</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sz w:val="20"/>
              </w:rPr>
            </w:pPr>
            <w:r>
              <w:rPr>
                <w:b/>
                <w:sz w:val="20"/>
              </w:rPr>
              <w:t>BIR Ref Number</w:t>
            </w:r>
          </w:p>
        </w:tc>
        <w:tc>
          <w:tcPr>
            <w:tcW w:w="60" w:type="dxa"/>
            <w:tcBorders/>
            <w:tcMar>
              <w:bottom w:w="0" w:type="dxa"/>
            </w:tcMar>
            <w:vAlign w:val="center"/>
          </w:tcPr>
          <w:p>
            <w:pPr>
              <w:pStyle w:val="TableContents"/>
              <w:bidi w:val="0"/>
              <w:spacing w:before="0" w:after="283"/>
              <w:jc w:val="center"/>
              <w:rPr/>
            </w:pPr>
            <w:r>
              <w:rPr/>
              <w:t> </w:t>
            </w:r>
          </w:p>
        </w:tc>
        <w:tc>
          <w:tcPr>
            <w:tcW w:w="455" w:type="dxa"/>
            <w:tcBorders>
              <w:bottom w:val="single" w:sz="12" w:space="0" w:color="000000"/>
            </w:tcBorders>
            <w:vAlign w:val="center"/>
          </w:tcPr>
          <w:p>
            <w:pPr>
              <w:pStyle w:val="TableContents"/>
              <w:bidi w:val="0"/>
              <w:spacing w:before="0" w:after="283"/>
              <w:jc w:val="center"/>
              <w:rPr>
                <w:b/>
                <w:sz w:val="20"/>
              </w:rPr>
            </w:pPr>
            <w:r>
              <w:rPr>
                <w:b/>
                <w:sz w:val="20"/>
              </w:rPr>
              <w:t>Due Date</w:t>
            </w:r>
          </w:p>
        </w:tc>
        <w:tc>
          <w:tcPr>
            <w:tcW w:w="60" w:type="dxa"/>
            <w:tcBorders/>
            <w:tcMar>
              <w:bottom w:w="0" w:type="dxa"/>
            </w:tcMar>
            <w:vAlign w:val="center"/>
          </w:tcPr>
          <w:p>
            <w:pPr>
              <w:pStyle w:val="TableContents"/>
              <w:bidi w:val="0"/>
              <w:spacing w:before="0" w:after="283"/>
              <w:jc w:val="center"/>
              <w:rPr/>
            </w:pPr>
            <w:r>
              <w:rPr/>
              <w:t> </w:t>
            </w:r>
          </w:p>
        </w:tc>
        <w:tc>
          <w:tcPr>
            <w:tcW w:w="1010" w:type="dxa"/>
            <w:tcBorders>
              <w:bottom w:val="single" w:sz="12" w:space="0" w:color="000000"/>
            </w:tcBorders>
            <w:vAlign w:val="center"/>
          </w:tcPr>
          <w:p>
            <w:pPr>
              <w:pStyle w:val="TableContents"/>
              <w:bidi w:val="0"/>
              <w:spacing w:before="0" w:after="283"/>
              <w:jc w:val="center"/>
              <w:rPr>
                <w:b/>
                <w:sz w:val="20"/>
              </w:rPr>
            </w:pPr>
            <w:r>
              <w:rPr>
                <w:b/>
                <w:sz w:val="20"/>
              </w:rPr>
              <w:t>Due Date Description</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1774631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2-Jun-16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6/2/2016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1774631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2-Jun-26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1785098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1-Jun-16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11/26/2019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TMA1,064,371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26-Nov-29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ARAKODA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1899317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15-May-18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8/20/2020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TMA1,081,180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20-Aug-30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20842242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2-Aug-16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9/28/2017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20842242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27-Sep-27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European Union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15508872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3-Jun-16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9/21/2016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15508872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3-Jun-26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European Union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ARAKODA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17900852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16-May-18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9/20/2018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17900852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16-May-28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Israel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285476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6-Jun-16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6/6/2016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285476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6-Jun-26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New Zealand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1044407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7-Jun-16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12/8/2016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1044407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6-May-26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2016720181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6-Jun-16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7/10/2017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623174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6-Jun-26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40201707950V</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2-May-17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11/8/2017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40201707950V</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2-May-27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ARAKODA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17900852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16-May-18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9/20/2018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UK00917900852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16-May-28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15508872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3-Jun-16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9/21/2016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UK009015508872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3-Jun-26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Renewal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TQ 100 &amp; TABLET DESIGN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87608493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14-Sep-17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sz w:val="20"/>
              </w:rPr>
            </w:pPr>
            <w:r>
              <w:rPr>
                <w:sz w:val="20"/>
              </w:rPr>
              <w:t>9/11/2018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5562900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11-Sep-24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Section 8 &amp; 15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United States of America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ARAKODA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87688137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16-Nov-17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sz w:val="20"/>
              </w:rPr>
            </w:pPr>
            <w:r>
              <w:rPr>
                <w:sz w:val="20"/>
              </w:rPr>
              <w:t>12/31/2019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5950691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31-Dec-25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Section 8 &amp; 15 Due</w:t>
            </w:r>
          </w:p>
        </w:tc>
      </w:tr>
      <w:tr>
        <w:trPr/>
        <w:tc>
          <w:tcPr>
            <w:tcW w:w="1160" w:type="dxa"/>
            <w:tcBorders/>
            <w:shd w:fill="CCEEFF" w:val="clear"/>
            <w:tcMar>
              <w:bottom w:w="0" w:type="dxa"/>
            </w:tcMar>
            <w:vAlign w:val="center"/>
          </w:tcPr>
          <w:p>
            <w:pPr>
              <w:pStyle w:val="TableContents"/>
              <w:bidi w:val="0"/>
              <w:spacing w:before="0" w:after="283"/>
              <w:jc w:val="left"/>
              <w:rPr>
                <w:sz w:val="20"/>
              </w:rPr>
            </w:pPr>
            <w:r>
              <w:rPr>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sz w:val="20"/>
              </w:rPr>
            </w:pPr>
            <w:r>
              <w:rPr>
                <w:sz w:val="20"/>
              </w:rPr>
              <w:t>Abandoned-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90072885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24-Jul-20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0081716-000069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16-Aug-23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Statement of Use/3rd Extension of Time Due</w:t>
            </w:r>
          </w:p>
        </w:tc>
      </w:tr>
      <w:tr>
        <w:trPr/>
        <w:tc>
          <w:tcPr>
            <w:tcW w:w="1160" w:type="dxa"/>
            <w:tcBorders/>
            <w:shd w:fill="FFFFFF" w:val="clear"/>
            <w:tcMar>
              <w:bottom w:w="0" w:type="dxa"/>
            </w:tcMar>
            <w:vAlign w:val="center"/>
          </w:tcPr>
          <w:p>
            <w:pPr>
              <w:pStyle w:val="TableContents"/>
              <w:bidi w:val="0"/>
              <w:spacing w:before="0" w:after="283"/>
              <w:jc w:val="left"/>
              <w:rPr>
                <w:sz w:val="20"/>
              </w:rPr>
            </w:pPr>
            <w:r>
              <w:rPr>
                <w:sz w:val="20"/>
              </w:rPr>
              <w:t>United  States of America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KODATEF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sz w:val="20"/>
              </w:rPr>
            </w:pPr>
            <w:r>
              <w:rPr>
                <w:sz w:val="20"/>
              </w:rPr>
              <w:t>Allowed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98/363,219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18-Jan-24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sz w:val="20"/>
              </w:rPr>
            </w:pPr>
            <w:r>
              <w:rPr>
                <w:sz w:val="20"/>
              </w:rPr>
              <w:t>0081716-000074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12-May-25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sz w:val="20"/>
              </w:rPr>
            </w:pPr>
            <w:r>
              <w:rPr>
                <w:sz w:val="20"/>
              </w:rPr>
              <w:t>Statement of Use/1st Extension of Time Due</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Key Relationships &amp; Licenses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30, 2014, we entered into the Exclusive License Agreement (the “2014 NUS-SHS Agreement”) with National University of Singapore (“NUS”) and Singapore Health Services Pte Ltd (“SHS”) in which we were granted a license from NUS and SHS with respect to their share of patent rights regarding “Dosing Regimen for Use of Celgosivir as an Antiviral Therapeutic for Dengue Virus Infection” to develop, market and sell licensed products. The 2014 NUS-SHS Agreement continues in force until the expiration of the last to expire of any patents under the patent rights unless terminated earlier in accordance with the 2014 NUS-SHS Agreement. We are obligated to pay royalties at the rate of 1.5% of gross sales.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15, 2015, we entered into the Exclusive License Agreement with the U.S. Army Medical Materiel Development Activity (the “U.S. Army”), which was subsequently amended (the “U.S. Army Agreement”), pursuant to which we obtained a license to develop and commercialize the licensed technology with respect to all therapeutic applications and uses excluding radical cure of symptomatic vivax malaria. This exclusion does not impact our ability to market Arakoda for the FDA-approved use, which is the prevention of malaria utilizing the indicated dose in asymptomatic individuals traveling to malarious areas (whereas the license exclusion relates to its use to treat symptomatic vivax malaria in a patient already presenting with that disease). The term of the U.S. Army Agreement will continue until the expiration of the last to expire of the patent application or valid claim of the licensed technology, or 20 years from the start date of the U.S. Army Agreement, unless terminated earlier by the parties. We must make a minimum annual royalty payment of 3% of Net Sales (as defined in the U.S. Army Agreement) for Net Sales less than $35 million, and 5% of Net Sales greater than $35 million, with US government sales excluded from the definition of Net Sales. The U.S. Army Agreement requires us to make a change of control payment of $100,000 if we are acquired or merge with another company, and regulatory approval milestone payments once marketing authorizations are achieved in Canada ($5,000) and Europe ($5,000). In addition, we were required to pay a sales-based milestone fee of $75,000 once cumulative net sales from all sources exceeded $6 million, which sales-based milestone target was achieved in 2023 and settled in full in June 2024.</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15, 2016, we entered into the Exclusive License Agreement (the “2016 NUS-SHS Agreement”) with National University of Singapore (“NUS”) and Singapore Health Services Pte Ltd (“SHS”) in which we were granted a license from NUS and SHS with respect to their share of patent rights regarding “Novel Dosing Regimens of Celgosivir for The Prevention of Dengue” to develop, market and sell licensed products. The 2016 NUS-SHS Agreement continues in force until the expiration of the last to expire of any patents under the patent rights unless terminated earlier in accordance with the 2016 NUS-SHS Agreement. We are obligated to pay at the rate of 1.5% of gross sales or minimum annual royalty ($5,000 in 2022 and $15,000 in 2023). In July 2022, the Company renegotiated the timing of a license fee of $85,000 Singapore Dollars, payable to the National University of Singapore, such that payment would be due at the earlier of (i) enrollment of a patient in a Phase II clinical trial involving Celgosivir, (ii) two years from the agreement date and (iii) an initial public offering.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4, 2020, we entered into the Other Transaction Authority for Prototype Agreement (“OTAP Agreement”) with the Natick Contracting Division of the U.S. government in which we will, among other things, conduct activities for a Phase II clinical trial to assess the safety and efficacy of Tafenoquine for the treatment of mild to moderate COVID-19 disease, with the goal of delivering Tafenoquine with an FDA Emergency Use Authorization (“EUA”) approved as a countermeasure against COVID-19. The total amount of the OTAP Agreement is $4,999,814. The term of the OTAP Agreement commenced on December 4, 2020, and was completed in the third quarter of 2022. The U.S. government may terminate the OTAP Agreement for any or no reason by providing us with at least thirty (30) calendar days’ prior written notice. Pursuant to the OTAP Agreement, we will not offer, sell or otherwise provide the EUA or licensed version of the prototype (Tafenoquine) that is FDA approved for COVID-19 or any like product to any entity at a price lower than that offered to the DoD, which applies only to products sold in the U.S., European Union and Canada related to COVID-19.</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15, 2021, we entered into the Inter-Institutional Agreement with FSURF (the “FSURF Agreement”) in which FSURF granted us the right to manage the licensing of intellectual property created at FSURF. The term of the FSURF Agreement expires five years from February 15, 2021. After deduction of a 5% administrative fee by FSURF, capped at $15,000 annually, and reimbursement of patent prosecution expenses, we will receive 20% of license income and FSURF will receive 80% of license income. Payments of license income shall be paid in U.S. dollars quarterly each year. On February 19, 2021, we entered into an agreement with FSURF, subsequently amended on February 15, 2023, and effective on March 24, 2025, that collectively granted an option, effective through March 23, 2026, to us to license methods for purifying castanospermine and its use for the treatment of COVID-19. On August 19, 2021, we entered into an agreement with FSURF, subsequently amended on February 15, 2023, and effective on March 24, 2025, that collectively granted an option, effective through March 23, 2026, to us to license a patent relating to the use of alpha glucosidase inhibitors (including castanospermine and Celgosivir) for treatment of Zika infections.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9, 2023, and subsequently amended, we entered into a Debt Conversion Agreement with Knight Therapeutics, Inc. (“Knight”). Among other things, this agreement requires us to pay Knight a quarterly royalty equal to 3.5% of Net Sales, where Net Sales has the same meaning as in the U.S. Army Agreement described above. Royalties due to Knight commenced upon the closing of our IPO in July 2023 and will end on the earlier of (i) July 12, 2033 or (ii) the conversion or redemption in full of all of the shares of Series A Preferred Stock held by Knight.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20, 2024, we entered into a Patent License Agreement with Tufts Medical Center (“Tufts MC”), pursuant to which Tufts MC granted us a license to research and commercialize certain patent applications covering jointly developed inventions related to the use of tafenoquine for treatment and/or prevention of babesiosis. The term of the agreement will continue until the expiration or final abandonment of the last patent application or issued patent for the use of tafenoquine for treatment and/or prevention of babesiosis, unless terminated earlier by the parties. On the earlier of (x) the date of patent issuance or (y) the date of regulatory approval for the use of tafenoquine product in treatment of babesiosis, we must make royalty payments equal to 4% of net sales of tafenoquine products sold in a format labeled for use in the treatment of babesiosis or 2% of net sales of tafenoquine products that are sold in a format not labeled for use in the treatment of babesiosis. In addition, for all sublicense revenue received by us from sales of sublicensed products, we must make payments equal to 20% of the revenue we receive for sales of tafenoquine products sold in a format labeled for use in the treatment of babesiosis or 10% of the revenue we receive for sales of tafenoquine that are sold in a format not labeled for use in the treatment of babesiosis.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3, 2025, we entered into an Agreement with Yale University (“Yale”) pursuant to which Yale has granted us an exclusive, worldwide license to make, have made, use, sell, have sold, import, or practice certain patents and patent applications covering jointly developed inventions related to the treatment of babesiosis using Tafenoquine within the field of using Tafenoquine to treat babesiosis. Yale retains the right to use the inventions for research, clinical, teaching, or other non-commercial purposes. In exchange for the license granted to Yale to us, we agreed to pay Yale a royalty of 2% on net sales of licensed products covering the licensed patents if the licensed produce it branded for treatment of babesiosis and a royalty of 1% on net sales if licensed products covering the licensed product is not specifically branded for treatment of babesiosis.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4, 2025, we entered into an Option Agreement with FSURF, pursuant to which FSURF granted us a 12-month option to exclusively license certain patent and technology rights held by FSURF relating to large scale purification of castanospermine, including U.S. Patent No 11,518,762, while we assess the potential feasibility of commercializing Australian Chestnut Tree extracts. We exercised the option in February 2026, and are now negotiating a full license.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Manufacturing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do not currently own or operate manufacturing facilities for the production of clinical or commercial quantities of our product candidates.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Australian Research Tax Credit and Overseas Finding Process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Section 27 of the Industry Research and Development Act 1986</w:t>
      </w:r>
      <w:r>
        <w:rPr>
          <w:rFonts w:ascii="Times New Roman;Times;Serif" w:hAnsi="Times New Roman;Times;Serif"/>
          <w:b w:val="false"/>
          <w:i w:val="false"/>
          <w:caps w:val="false"/>
          <w:smallCaps w:val="false"/>
          <w:position w:val="7"/>
          <w:sz w:val="16"/>
          <w:sz w:val="20"/>
          <w:bdr w:val="single" w:sz="12" w:space="1" w:color="000000"/>
        </w:rPr>
        <w:t>38</w:t>
      </w:r>
      <w:r>
        <w:rPr>
          <w:rFonts w:ascii="Times New Roman;Times;Serif" w:hAnsi="Times New Roman;Times;Serif"/>
          <w:b w:val="false"/>
          <w:i w:val="false"/>
          <w:caps w:val="false"/>
          <w:smallCaps w:val="false"/>
          <w:sz w:val="20"/>
          <w:bdr w:val="single" w:sz="12" w:space="1" w:color="000000"/>
        </w:rPr>
        <w:t>, the Australian government offers a research tax credit of 43.5% on registered research and development activities executed in Australia by eligible Australian domiciled entities. Companies are eligible to receive tax credits if they meet the following criteria: (i) are domiciled in Australia, (ii) have incurred at least $20,000 in eligible research and development expenses, (iii) have conducted at least one eligible research and development activity, (iv) beneficial owner(s) with &gt; 40 % beneficial ownership when considered together do not have &gt; $20 million AUD aggregated turnover on an annual basis. 60P Australia Pty Ltd. meets all these criteria, and will continue to do so in the future unless, considered together with any of our shareholders who have &gt; 40% beneficial ownership, have &gt; $20 million AUD in aggregate annual turnover.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Section 28D of the Industry Research and Development Act 1986</w:t>
      </w:r>
      <w:r>
        <w:rPr>
          <w:rFonts w:ascii="Times New Roman;Times;Serif" w:hAnsi="Times New Roman;Times;Serif"/>
          <w:b w:val="false"/>
          <w:i w:val="false"/>
          <w:caps w:val="false"/>
          <w:smallCaps w:val="false"/>
          <w:position w:val="7"/>
          <w:sz w:val="16"/>
          <w:sz w:val="20"/>
          <w:bdr w:val="single" w:sz="12" w:space="1" w:color="000000"/>
        </w:rPr>
        <w:t>39</w:t>
      </w:r>
      <w:r>
        <w:rPr>
          <w:rFonts w:ascii="Times New Roman;Times;Serif" w:hAnsi="Times New Roman;Times;Serif"/>
          <w:b w:val="false"/>
          <w:i w:val="false"/>
          <w:caps w:val="false"/>
          <w:smallCaps w:val="false"/>
          <w:sz w:val="20"/>
          <w:bdr w:val="single" w:sz="12" w:space="1" w:color="000000"/>
        </w:rPr>
        <w:t>, research and development activities conducted outside Australia are also potentially eligible if they meet the following criteria: (i) they are approved in advance, (ii) they are linked to a core research and development activity conducted in Australia, (iii) cannot be conducted in Australia for various reasons and (iv) the value of activities conducted overseas is less than the value of activities conducted in Australia.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7045" w:type="dxa"/>
        <w:jc w:val="left"/>
        <w:tblInd w:w="0" w:type="dxa"/>
        <w:tblLayout w:type="fixed"/>
        <w:tblCellMar>
          <w:top w:w="0" w:type="dxa"/>
          <w:left w:w="0" w:type="dxa"/>
          <w:bottom w:w="0" w:type="dxa"/>
          <w:right w:w="0" w:type="dxa"/>
        </w:tblCellMar>
      </w:tblPr>
      <w:tblGrid>
        <w:gridCol w:w="215"/>
        <w:gridCol w:w="683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38</w:t>
            </w:r>
          </w:p>
        </w:tc>
        <w:tc>
          <w:tcPr>
            <w:tcW w:w="6830" w:type="dxa"/>
            <w:tcBorders/>
            <w:vAlign w:val="center"/>
          </w:tcPr>
          <w:p>
            <w:pPr>
              <w:pStyle w:val="TableContents"/>
              <w:bidi w:val="0"/>
              <w:spacing w:before="0" w:after="283"/>
              <w:jc w:val="both"/>
              <w:rPr>
                <w:sz w:val="20"/>
              </w:rPr>
            </w:pPr>
            <w:r>
              <w:rPr>
                <w:sz w:val="20"/>
              </w:rPr>
              <w:t>See Industry Research and Development Act 1986 (legislation.gov.au).</w:t>
            </w:r>
          </w:p>
        </w:tc>
      </w:tr>
      <w:tr>
        <w:trPr/>
        <w:tc>
          <w:tcPr>
            <w:tcW w:w="215" w:type="dxa"/>
            <w:tcBorders/>
            <w:vAlign w:val="center"/>
          </w:tcPr>
          <w:p>
            <w:pPr>
              <w:pStyle w:val="TableContents"/>
              <w:bidi w:val="0"/>
              <w:spacing w:before="0" w:after="283"/>
              <w:jc w:val="left"/>
              <w:rPr>
                <w:position w:val="7"/>
                <w:sz w:val="16"/>
                <w:sz w:val="20"/>
              </w:rPr>
            </w:pPr>
            <w:r>
              <w:rPr>
                <w:position w:val="7"/>
                <w:sz w:val="16"/>
                <w:sz w:val="20"/>
              </w:rPr>
              <w:t>39</w:t>
            </w:r>
          </w:p>
        </w:tc>
        <w:tc>
          <w:tcPr>
            <w:tcW w:w="6830" w:type="dxa"/>
            <w:tcBorders/>
            <w:vAlign w:val="center"/>
          </w:tcPr>
          <w:p>
            <w:pPr>
              <w:pStyle w:val="TableContents"/>
              <w:bidi w:val="0"/>
              <w:spacing w:before="0" w:after="283"/>
              <w:jc w:val="both"/>
              <w:rPr>
                <w:sz w:val="20"/>
              </w:rPr>
            </w:pPr>
            <w:r>
              <w:rPr>
                <w:sz w:val="20"/>
              </w:rPr>
              <w:t>See Australian Government R&amp;D Tax Incentive - Overseas R&amp;D: Information Sheet.</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Government Regulation and Product Approvals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Review and Approval of Drugs in the United States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the United States, the FDA regulates, among other things, the research, development, testing, manufacturing, approval, labeling, storage, recordkeeping, advertising, promotion and marketing, distribution, post approval monitoring and reporting and import and export of drugs in the U.S. to assure the safety and effectiveness of medical products for their intended use under the Federal Food, Drug, and Cosmetic Act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denial of the ability to import and export certain products, restitution, disgorgement of profits, or civil or criminal investigations and penalties brought by the FDA and the Department of Justice or other governmental entities.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applicant seeking approval to market and distribute a new drug product in the United States must typically undertake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completion of preclinical laboratory tests, animal studies and formulation studies in compliance with the FDA’s good laboratory practice regulations;</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submission to the FDA of an IND, which must take effect before human clinical trials may begin;</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approval by an independent institutional review board representing each clinical site before each clinical trial may be initiated;</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performance of adequate and well-controlled human clinical trials in accordance with good clinical practices to establish the safety and efficacy of the proposed drug product for each indication;</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preparation and submission to the FDA of a new drug application;</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pPr>
            <w:r>
              <w:rPr/>
              <w:t>review of the product by an FDA advisory committee, where appropriate or if applicable;</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satisfactory completion of FDA audits of clinical trial sites to assure compliance with GCPs and the integrity of the clinical data;</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pPr>
            <w:r>
              <w:rPr/>
              <w:t>payment of user fees and securing FDA approval of the NDA; and</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compliance with any post-approval requirements, including Risk Evaluation and Mitigation Strategies and post-approval studies required by the FDA.</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Preclinical Studies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Preclinical studies include laboratory evaluation of the purity and stability of the manufactured drug substance or active pharmaceutical ingredient and the formulated drug or drug product, as well as </w:t>
      </w:r>
      <w:r>
        <w:rPr>
          <w:rFonts w:ascii="Times New Roman;Times;Serif" w:hAnsi="Times New Roman;Times;Serif"/>
          <w:b w:val="false"/>
          <w:i/>
          <w:caps w:val="false"/>
          <w:smallCaps w:val="false"/>
          <w:sz w:val="20"/>
          <w:bdr w:val="single" w:sz="12" w:space="1" w:color="000000"/>
        </w:rPr>
        <w:t>in vitro</w:t>
      </w:r>
      <w:r>
        <w:rPr>
          <w:rFonts w:ascii="Times New Roman;Times;Serif" w:hAnsi="Times New Roman;Times;Serif"/>
          <w:b w:val="false"/>
          <w:i w:val="false"/>
          <w:caps w:val="false"/>
          <w:smallCaps w:val="false"/>
          <w:sz w:val="20"/>
          <w:bdr w:val="single" w:sz="12" w:space="1" w:color="000000"/>
        </w:rPr>
        <w:t>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The IND and IRB Processes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certain FDA requirements in order to use the study as support for an IND or application for marketing approval.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Information about certain clinical trials must be submitted within specific timeframes to the National Institutes of Health, for public dissemination on its </w:t>
      </w:r>
      <w:r>
        <w:rPr>
          <w:rFonts w:ascii="Times New Roman;Times;Serif" w:hAnsi="Times New Roman;Times;Serif"/>
          <w:b w:val="false"/>
          <w:i/>
          <w:caps w:val="false"/>
          <w:smallCaps w:val="false"/>
          <w:sz w:val="20"/>
          <w:bdr w:val="single" w:sz="12" w:space="1" w:color="000000"/>
        </w:rPr>
        <w:t>ClinicalTrials.gov</w:t>
      </w:r>
      <w:r>
        <w:rPr>
          <w:rFonts w:ascii="Times New Roman;Times;Serif" w:hAnsi="Times New Roman;Times;Serif"/>
          <w:b w:val="false"/>
          <w:i w:val="false"/>
          <w:caps w:val="false"/>
          <w:smallCaps w:val="false"/>
          <w:sz w:val="20"/>
          <w:bdr w:val="single" w:sz="12" w:space="1" w:color="000000"/>
        </w:rPr>
        <w:t> website.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Human Clinical Studies in Support of an NDA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Human clinical trials are typically conducted in the following sequential phases, which may overlap or be combined: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Phase 2: The drug is administered to a limited patient population to identify possible adverse effects and safety risks, to preliminarily evaluate the efficacy of the product for specific targeted diseases and to determine dosage tolerance and optimal dosage.</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Phase 4: Post-approval studies, which are conducted following initial approval, are typically conducted to gain additional experience and data from treatment of patients in the intended therapeutic indication.</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Times;Serif" w:hAnsi="Times New Roman;Times;Serif"/>
          <w:b w:val="false"/>
          <w:i/>
          <w:caps w:val="false"/>
          <w:smallCaps w:val="false"/>
          <w:sz w:val="20"/>
          <w:bdr w:val="single" w:sz="12" w:space="1" w:color="000000"/>
        </w:rPr>
        <w:t>in vitro</w:t>
      </w:r>
      <w:r>
        <w:rPr>
          <w:rFonts w:ascii="Times New Roman;Times;Serif" w:hAnsi="Times New Roman;Times;Serif"/>
          <w:b w:val="false"/>
          <w:i w:val="false"/>
          <w:caps w:val="false"/>
          <w:smallCaps w:val="false"/>
          <w:sz w:val="20"/>
          <w:bdr w:val="single" w:sz="12" w:space="1" w:color="000000"/>
        </w:rPr>
        <w:t>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Submission of an NDA to the FDA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and the sponsor of an approved NDA is also subject to annual product and establishment user fees. These fees are typically increased annually. Certain exceptions and waivers are available for some of these fees, such as an exception from the application fee for products with orphan designation and a waiver for certain small businesses, an exception from the establishment fee when the establishment does not engage in manufacturing the product during a particular fiscal year, and an exception from the product fee for a product that is the same as another product approved under an abbreviated pathway.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conducts a preliminary review of an NDA within 60 days of its receipt and strives to inform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comply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(“FDARA”), the FDA must implement a protocol to expedite review of responses to inspection reports pertaining to certain drug applications, including applications for drugs in a shortage or drugs for which approval is dependent on remediation of conditions identified in the inspection report.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as a condition of approval, the FDA may require an applicant to develop a REMS. REMS use risk minimization strategies beyond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is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Fast-Track, Breakthrough Therapy and Priority Review Designations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is authorized to designate certain products for expedited review if they are intended to address an unmet medical need in the treatment of a serious or life-threatening disease or condition. These programs are referred to as fast-track designation, breakthrough therapy designation and priority review designation.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Specifically, the FDA may designate a product for fast-track review if it is intended, whether alone or in combination with one or more other products, for the treatment of a serious or life-threatening disease or condition, and it demonstrates the potential to address unmet medical needs for such a disease or condition. For fast-track products, sponsors may have greater interactions with the FDA and the FDA may initiate review of sections of a fast-track product’s application before the application is complete. This rolling review may be available if the FDA determines, after preliminary evaluation of clinical data submitted by the sponsor, that a fast-track product may be effective. The sponsor must also provide, and the FDA must approve, a schedule for the submission of the remaining information and the sponsor must pay applicable user fees. However, the FDA’s time period goal for reviewing a fast-track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Tropical Disease PRVs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Tropical Disease Priority Review Voucher (“PRV”) program was created by Congress under the Food and Drug Administration Amendments Act of 2007 (“FDAAA”) in order to encourage innovation and public access to new medicines. Pursuant to Section 1102 of FDAAA, which amended section 524 of the Federal Food, Drug, and Cosmetic Act (“FFDCA”), along with later amendments, the FDA must award a PRV to certain applicants that obtain an approved NDA to treat certain tropical diseases. Congress later expanded the scope of diseases that were eligible for a PRV (e.g., a PRV for obtaining approval for a drug to treat rare pediatric diseases). A PRV entitles the holder of the voucher to designate a different drug application as qualifying for priority review from FDA. When a drug application is designated for priority review through use of a priority review voucher, that application must be reviewed by FDA no later than 6 months after receipt.</w:t>
      </w:r>
      <w:r>
        <w:rPr>
          <w:rFonts w:ascii="Times New Roman;Times;Serif" w:hAnsi="Times New Roman;Times;Serif"/>
          <w:b w:val="false"/>
          <w:i w:val="false"/>
          <w:caps w:val="false"/>
          <w:smallCaps w:val="false"/>
          <w:position w:val="7"/>
          <w:sz w:val="16"/>
          <w:sz w:val="20"/>
          <w:bdr w:val="single" w:sz="12" w:space="1" w:color="000000"/>
        </w:rPr>
        <w:t>40</w:t>
      </w:r>
      <w:r>
        <w:rPr>
          <w:rFonts w:ascii="Times New Roman;Times;Serif" w:hAnsi="Times New Roman;Times;Serif"/>
          <w:b w:val="false"/>
          <w:i w:val="false"/>
          <w:caps w:val="false"/>
          <w:smallCaps w:val="false"/>
          <w:sz w:val="20"/>
          <w:bdr w:val="single" w:sz="12" w:space="1" w:color="000000"/>
        </w:rPr>
        <w:t> This guarantees a much more rapid review by FDA compared to the standard review time.</w:t>
      </w:r>
    </w:p>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2110" w:type="dxa"/>
        <w:jc w:val="left"/>
        <w:tblInd w:w="0" w:type="dxa"/>
        <w:tblLayout w:type="fixed"/>
        <w:tblCellMar>
          <w:top w:w="0" w:type="dxa"/>
          <w:left w:w="0" w:type="dxa"/>
          <w:bottom w:w="0" w:type="dxa"/>
          <w:right w:w="0" w:type="dxa"/>
        </w:tblCellMar>
      </w:tblPr>
      <w:tblGrid>
        <w:gridCol w:w="215"/>
        <w:gridCol w:w="1895"/>
      </w:tblGrid>
      <w:tr>
        <w:trPr/>
        <w:tc>
          <w:tcPr>
            <w:tcW w:w="215" w:type="dxa"/>
            <w:tcBorders/>
            <w:vAlign w:val="center"/>
          </w:tcPr>
          <w:p>
            <w:pPr>
              <w:pStyle w:val="TableContents"/>
              <w:bidi w:val="0"/>
              <w:spacing w:before="0" w:after="283"/>
              <w:jc w:val="left"/>
              <w:rPr>
                <w:position w:val="7"/>
                <w:sz w:val="16"/>
                <w:sz w:val="20"/>
              </w:rPr>
            </w:pPr>
            <w:r>
              <w:rPr>
                <w:position w:val="7"/>
                <w:sz w:val="16"/>
                <w:sz w:val="20"/>
              </w:rPr>
              <w:t>40</w:t>
            </w:r>
          </w:p>
        </w:tc>
        <w:tc>
          <w:tcPr>
            <w:tcW w:w="1895" w:type="dxa"/>
            <w:tcBorders/>
            <w:vAlign w:val="center"/>
          </w:tcPr>
          <w:p>
            <w:pPr>
              <w:pStyle w:val="TableContents"/>
              <w:bidi w:val="0"/>
              <w:spacing w:before="0" w:after="283"/>
              <w:jc w:val="both"/>
              <w:rPr>
                <w:sz w:val="20"/>
              </w:rPr>
            </w:pPr>
            <w:r>
              <w:rPr>
                <w:sz w:val="20"/>
              </w:rPr>
              <w:t>21 U.S.C. § 360n(a)(1).</w:t>
            </w:r>
          </w:p>
        </w:tc>
      </w:tr>
    </w:tbl>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23</w:t>
      </w:r>
    </w:p>
    <w:p>
      <w:pPr>
        <w:pStyle w:val="TextBody"/>
        <w:bidi w:val="0"/>
        <w:spacing w:before="0" w:after="0"/>
        <w:ind w:left="0" w:right="0" w:hanging="0"/>
        <w:jc w:val="left"/>
        <w:rPr/>
      </w:pPr>
      <w:r>
        <w:rPr/>
        <w:t> </w:t>
      </w:r>
    </w:p>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Tropical disease PRVs were created under the FDAAA to encourage pharmaceutical companies to develop treatments for specific neglected tropical diseases. As defined by the statute, tropical diseases refer to certain “infectious disease[s] for which there is no significant market in developed nations and that disproportionately affects poor and marginalized populations.”</w:t>
      </w:r>
      <w:r>
        <w:rPr>
          <w:rFonts w:ascii="Times New Roman;Times;Serif" w:hAnsi="Times New Roman;Times;Serif"/>
          <w:b w:val="false"/>
          <w:i w:val="false"/>
          <w:caps w:val="false"/>
          <w:smallCaps w:val="false"/>
          <w:position w:val="7"/>
          <w:sz w:val="16"/>
          <w:sz w:val="20"/>
          <w:bdr w:val="single" w:sz="12" w:space="1" w:color="000000"/>
        </w:rPr>
        <w:t>41</w:t>
      </w:r>
      <w:r>
        <w:rPr>
          <w:rFonts w:ascii="Times New Roman;Times;Serif" w:hAnsi="Times New Roman;Times;Serif"/>
          <w:b w:val="false"/>
          <w:i w:val="false"/>
          <w:caps w:val="false"/>
          <w:smallCaps w:val="false"/>
          <w:sz w:val="20"/>
          <w:bdr w:val="single" w:sz="12" w:space="1" w:color="000000"/>
        </w:rPr>
        <w:t> Because tropical diseases occur rarely in the United States, obtaining approval from the FDA for treating these diseases would normally be unprofitable for pharmaceutical companies due to the limited domestic market and the scope and significant financial costs of the post-marketing requirements imposed by FDA. Congress intended to incentivize companies to turn their attentions to tropical diseases by providing a PRV to those companies that obtained approval from FDA for a tropical disease drug product, and the granted PRV could then be sold to another company for money.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PRV is an extremely valuable property interest. For example, Rhythm Pharmaceutical, Inc. announced in 2021 that it had sold a PRV for $100,000,000.</w:t>
      </w:r>
      <w:r>
        <w:rPr>
          <w:rFonts w:ascii="Times New Roman;Times;Serif" w:hAnsi="Times New Roman;Times;Serif"/>
          <w:b w:val="false"/>
          <w:i w:val="false"/>
          <w:caps w:val="false"/>
          <w:smallCaps w:val="false"/>
          <w:position w:val="7"/>
          <w:sz w:val="16"/>
          <w:sz w:val="20"/>
          <w:bdr w:val="single" w:sz="12" w:space="1" w:color="000000"/>
        </w:rPr>
        <w:t>42</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Accelerated Approval Pathway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2110" w:type="dxa"/>
        <w:jc w:val="left"/>
        <w:tblInd w:w="0" w:type="dxa"/>
        <w:tblLayout w:type="fixed"/>
        <w:tblCellMar>
          <w:top w:w="0" w:type="dxa"/>
          <w:left w:w="0" w:type="dxa"/>
          <w:bottom w:w="0" w:type="dxa"/>
          <w:right w:w="0" w:type="dxa"/>
        </w:tblCellMar>
      </w:tblPr>
      <w:tblGrid>
        <w:gridCol w:w="215"/>
        <w:gridCol w:w="1895"/>
      </w:tblGrid>
      <w:tr>
        <w:trPr/>
        <w:tc>
          <w:tcPr>
            <w:tcW w:w="215" w:type="dxa"/>
            <w:tcBorders/>
            <w:vAlign w:val="center"/>
          </w:tcPr>
          <w:p>
            <w:pPr>
              <w:pStyle w:val="TableContents"/>
              <w:bidi w:val="0"/>
              <w:spacing w:before="0" w:after="283"/>
              <w:jc w:val="left"/>
              <w:rPr>
                <w:position w:val="7"/>
                <w:sz w:val="16"/>
                <w:sz w:val="20"/>
              </w:rPr>
            </w:pPr>
            <w:r>
              <w:rPr>
                <w:position w:val="7"/>
                <w:sz w:val="16"/>
                <w:sz w:val="20"/>
              </w:rPr>
              <w:t>41</w:t>
            </w:r>
          </w:p>
        </w:tc>
        <w:tc>
          <w:tcPr>
            <w:tcW w:w="1895" w:type="dxa"/>
            <w:tcBorders/>
            <w:vAlign w:val="center"/>
          </w:tcPr>
          <w:p>
            <w:pPr>
              <w:pStyle w:val="TableContents"/>
              <w:bidi w:val="0"/>
              <w:spacing w:before="0" w:after="283"/>
              <w:jc w:val="both"/>
              <w:rPr>
                <w:sz w:val="20"/>
              </w:rPr>
            </w:pPr>
            <w:r>
              <w:rPr>
                <w:sz w:val="20"/>
              </w:rPr>
              <w:t>21 U.S.C. § 360n(a)(3).</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7"/>
                <w:sz w:val="16"/>
                <w:sz w:val="20"/>
              </w:rPr>
            </w:pPr>
            <w:r>
              <w:rPr>
                <w:position w:val="7"/>
                <w:sz w:val="16"/>
                <w:sz w:val="20"/>
              </w:rPr>
              <w:t>42</w:t>
            </w:r>
          </w:p>
        </w:tc>
        <w:tc>
          <w:tcPr>
            <w:tcW w:w="9990" w:type="dxa"/>
            <w:tcBorders/>
            <w:vAlign w:val="center"/>
          </w:tcPr>
          <w:p>
            <w:pPr>
              <w:pStyle w:val="TableContents"/>
              <w:bidi w:val="0"/>
              <w:spacing w:before="0" w:after="283"/>
              <w:jc w:val="both"/>
              <w:rPr>
                <w:sz w:val="20"/>
              </w:rPr>
            </w:pPr>
            <w:r>
              <w:rPr>
                <w:sz w:val="20"/>
              </w:rPr>
              <w:t>Ben Adams, </w:t>
            </w:r>
            <w:r>
              <w:rPr>
                <w:i/>
                <w:sz w:val="20"/>
              </w:rPr>
              <w:t>Newly acquired Alexion pays $100M for Rhythm’s speedy review voucher</w:t>
            </w:r>
            <w:r>
              <w:rPr>
                <w:sz w:val="20"/>
              </w:rPr>
              <w:t>, Fierce Biotech (Jan 6, 2021, 10:23 AM), </w:t>
            </w:r>
            <w:r>
              <w:rPr>
                <w:i/>
                <w:sz w:val="20"/>
              </w:rPr>
              <w:t>available at</w:t>
            </w:r>
            <w:r>
              <w:rPr>
                <w:sz w:val="20"/>
              </w:rPr>
              <w:t> https://www.fiercebiotech.com/biotech/newly-acquired-alexion-pays-100m-for-rhythm-s-speedy-review-voucher.</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The FDA’s Decision on an NDA</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Post-Approval Requirements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restrictions on the marketing or manufacturing of the product, complete withdrawal of the product from the market or product recalls;</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pPr>
            <w:r>
              <w:rPr/>
              <w:t>fines, warning letters or holds on post-approval clinical trials;</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refusal of the FDA to approve pending NDAs or supplements to approved NDAs, or suspension or revocation of product license approvals;</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product seizure or detention, or refusal to permit the import or export of products; or</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injunctions or the imposition of civil or criminal penalties.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the distribution of prescription pharmaceutical products is subject to the Prescription Drug Marketing Act (“PDMA”), and its implementation regulations, as well as the Drug Supply Chain Security Act (“DSCSA”), which regulates the distribution of and tracing of prescription drugs and prescription drug samples at the federal level, and sets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Abbreviated New Drug Applications for Generic Drugs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ANDA to the agency. In support of such applications, a generic manufacturer may rely on the preclinical and clinical testing previously conducted for a drug product previously approved under an NDA, known as the reference-listed drug (“RLD”).</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FDARA, a priority review track will be established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Hatch-Waxman Patent Certification and the 30-Month Stay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Specifically, the applicant must certify with respect to each patent that: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the required patent information has not been filed;</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listed patent has expired;</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listed patent has not expired, but will expire on a particular date and approval is sought after patent expiration; or</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pPr>
            <w:r>
              <w:rPr/>
              <w:t>the listed patent is invalid, unenforceable or will not be infringed by the new product.</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Pediatric Studies and Exclusivity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drugs intended to treat a serious or life-threatening disease or condition, the FDA must, upon the request of an applicant, meet to discuss preparation of the initial pediatric study plan or to discuss deferral or waiver of pediatric assessments.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FDARA requires the FDA to meet early in the development process to discuss pediatric study plans with drug sponsors. The legislation requires the FDA to meet with drug sponsors no later than the end-of-phase 1 meeting for serious or life-threatening diseases and by no later than 90 days after the FDA’s receipt of the study plan.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responds to a written request from the FDA for such data. The data do not need to show the product to be effective in the pediatric population studied; rather, if the clinical trial is deemed to fairly respond to the FDA’s request,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Orphan Drug Designation and Exclusivity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Patent Term Restoration and Extension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Review and Approval of Medical Devices in the United States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Medical devices in the United States are strictly regulated by the FDA. Under the FDCA, a medical device is defined as an instrument, apparatus, implement, machine, contrivance, implant, </w:t>
      </w:r>
      <w:r>
        <w:rPr>
          <w:rFonts w:ascii="Times New Roman;Times;Serif" w:hAnsi="Times New Roman;Times;Serif"/>
          <w:b w:val="false"/>
          <w:i/>
          <w:caps w:val="false"/>
          <w:smallCaps w:val="false"/>
          <w:sz w:val="20"/>
          <w:bdr w:val="single" w:sz="12" w:space="1" w:color="000000"/>
        </w:rPr>
        <w:t>in vitro</w:t>
      </w:r>
      <w:r>
        <w:rPr>
          <w:rFonts w:ascii="Times New Roman;Times;Serif" w:hAnsi="Times New Roman;Times;Serif"/>
          <w:b w:val="false"/>
          <w:i w:val="false"/>
          <w:caps w:val="false"/>
          <w:smallCaps w:val="false"/>
          <w:sz w:val="20"/>
          <w:bdr w:val="single" w:sz="12" w:space="1" w:color="000000"/>
        </w:rPr>
        <w:t>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510(k) must demonstrate that the proposed device is substantially equivalent to another legally marketed device, or predicate device, which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most likely required to submit a PMA to market the product.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PMA application process, the applicant must demonstrate that the device is safe and effective for its intended use. This PMA approval process applies to most Class III devices, and generally requires clinical data to support the safety and effectiveness of the device, obtained in conformance with Investigational Device Exemption regulations. The FDA will approve a PMA application if it finds that there is a reasonable assurance that the device is safe and effective for its intended purpose, and that the proposed manufacturing is in compliance with the QSRs. For novel technologies, the FDA will seek input from an advisory panel of medical experts regarding the safety and effectiveness of, and their benefit-risk analysis for the device. The PMA process is generally more detailed, lengthier and more expensive than the 510(k) process, though both processes can be expensive and lengthy, and require payment of significant user fees, unless an exemption is available.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Review and Approval of Drug Products in the European Union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u w:val="single"/>
          <w:bdr w:val="single" w:sz="12" w:space="1" w:color="000000"/>
        </w:rPr>
        <w:t>Procedures Governing Approval of Drug Products in the European Union</w:t>
      </w:r>
      <w:r>
        <w:rPr>
          <w:rFonts w:ascii="Times New Roman;Times;Serif" w:hAnsi="Times New Roman;Times;Serif"/>
          <w:b/>
          <w:i/>
          <w:caps w:val="false"/>
          <w:smallCaps w:val="false"/>
          <w:sz w:val="20"/>
          <w:bdr w:val="single" w:sz="12" w:space="1" w:color="000000"/>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obtain marketing approval of a product under European Union regulatory systems, an applicant must submit a marketing authorization application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centralized procedure, the Committee for Medicinal Products for Human Use (the “CHMP”), established at the European Medicines Agency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decentralized procedure is available to applicants who wish to market a product in various E.U. member states where such a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Clinical Trial 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Requirements for the conduct of clinical trials in the European Union including Good Clinical Practice, are set forth in the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each E.U. member state in which a study is planned to be conducted. To this end, a clinical trial application is submitted, which must be supported by an investigational medicinal product dossier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April 2014, the European Union passed the new Clinical Trials Regulation, (EU) No 536/2014, which will replace the current Clinical Trials Directive 2001/20/EC. To ensure that the rules for clinical trials are identical throughout the European Union, the new E.U. clinical trials legislation was passed as a regulation that is directly applicable in all E.U. member states. All clinical trials performed in the European Union are required to be conducted in accordance with the Clinical Trials Directive 2001/20/EC until the new Clinical Trials Regulation (EU) No 536/2014 becomes applicable. According to the current plans of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old system.</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new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that will spare sponsors from submitting broadly identical information separately to various bodies and different member states; a harmonized procedure for the assessment of applications for clinical trials, which is divided in two parts-Part I is assessed jointly by all member states concerned. Part II is assessed separately by each member state concerned; strictly defined deadlines for the assessment of clinical trial applications; and the involvement of the Ethics Committees in the assessment procedure in accordance with the national law of the member state concerned but within the overall timelines defined by the Clinical Trials Regulation.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Data and Market Exclusivity in the European Union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Periods of Authorization and Renewals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European Union market (in case of centralized procedure) or on the market of the authorizing member state within three years after authorization ceases to be valid (the so-called sunset clause).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Orphan Drug Designation and Exclusivity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Regulation 141/2000 provides that a drug shall be designated as an orphan drug if its sponsor can establish: that the product is intended for the diagnosis, prevention or treatment of a life-threatening or chronically debilitating condition affecting not more than five in ten thousand persons in the European Community when the application is made, or that the product is intended for the diagnosis, prevention or treatment of a life-threatening, seriously debilitating or serious and chronic condition in the European Community and that without incentives it is unlikely that the marketing of the drug in the European Community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Community or, if such method exists, the drug will be of significant benefit to those affected by that condition.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Regulation 847/2000 sets out criteria and procedures governing designation of orphan drugs in the European Union. Specifically, an application for designation as an orphan product can be made any time prior to the filing of an application for approval to market the product. Marketing authorization for an orphan drug leads to a ten-year period of market exclusivity. 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“clinically relevant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pursuant to Regulation 141/2000 shall be eligible for incentives made available by the European Community and by the member states to support research into, and the development and availability of, orphan drugs.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Regulatory Framework in Australia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Therapeutic Goods Administration, through the Therapeutic Goods Act 1989 and the Therapeutic Goods Regulations is responsible for the efficacy, quality, safety and timely availability of drugs and medical devices in Australia. The mission statement of the TGA is “To ensure the safety, quality and efficacy of therapeutic goods available in Australia at a standard equal to that of comparable countries, and that premarket assessment of therapeutic goods is conducted within a reasonable time.”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drug regulation process in Australia is complex and resource intensive. It must be accountable in terms of the quality, safety and efficacy of drugs made available in Australia. This accountability includes an acceptance of a balance between safety and efficacy. The approval process is a detailed evaluation of the data supplied by the company sponsoring an application.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drug may first come to the attention of the TGA when an application for marketing is received or when an Australian clinical trial is being planned. For clinical trials, the sponsoring company may submit preliminary data for evaluation to the TGA or notify the TGA that the trial has been approved by an institutional Ethics Committee.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drug evaluation process for new chemical entities is as follows: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Application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pPr>
            <w:r>
              <w:rPr/>
              <w:t>Check to see data complies with Australian guidelines.</w:t>
            </w:r>
          </w:p>
        </w:tc>
      </w:tr>
    </w:tbl>
    <w:p>
      <w:pPr>
        <w:pStyle w:val="TextBody"/>
        <w:shd w:fill="FFFFFF" w:val="clear"/>
        <w:bidi w:val="0"/>
        <w:spacing w:before="0" w:after="0"/>
        <w:ind w:left="720" w:right="0" w:hanging="360"/>
        <w:jc w:val="left"/>
        <w:rPr>
          <w:caps w:val="false"/>
          <w:smallCaps w:val="false"/>
          <w:bdr w:val="single" w:sz="12" w:space="1" w:color="000000"/>
        </w:rPr>
      </w:pPr>
      <w:r>
        <w:rPr>
          <w:caps w:val="false"/>
          <w:smallCaps w:val="false"/>
          <w:bdr w:val="single" w:sz="12" w:space="1" w:color="000000"/>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pPr>
            <w:r>
              <w:rPr/>
              <w:t>Invoice sponsor for 75% of evaluation fee.</w:t>
            </w:r>
          </w:p>
        </w:tc>
      </w:tr>
    </w:tbl>
    <w:p>
      <w:pPr>
        <w:pStyle w:val="TextBody"/>
        <w:shd w:fill="FFFFFF" w:val="clear"/>
        <w:bidi w:val="0"/>
        <w:spacing w:before="0" w:after="0"/>
        <w:ind w:left="720" w:right="0" w:hanging="36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Evaluation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Evaluate pharmaceutical and chemical data.</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pPr>
            <w:r>
              <w:rPr/>
              <w:t>Evaluate animal pharmacology and toxicology data.</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pPr>
            <w:r>
              <w:rPr/>
              <w:t>Evaluate clinical data.</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Evaluation Unit reviews reports (coordinates external evaluations if used), prepares a summary and makes an initial recommendation.</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Pre ADEC consultation with sponsor.</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Prepare approved product information and consider consumer product information.</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pPr>
            <w:r>
              <w:rPr/>
              <w:t>Submit final package of summaries and recommendations to the ADEC (six meetings per year).</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Approval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3918" w:type="dxa"/>
        <w:jc w:val="left"/>
        <w:tblInd w:w="0" w:type="dxa"/>
        <w:tblLayout w:type="fixed"/>
        <w:tblCellMar>
          <w:top w:w="0" w:type="dxa"/>
          <w:left w:w="0" w:type="dxa"/>
          <w:bottom w:w="0" w:type="dxa"/>
          <w:right w:w="0" w:type="dxa"/>
        </w:tblCellMar>
      </w:tblPr>
      <w:tblGrid>
        <w:gridCol w:w="38"/>
        <w:gridCol w:w="17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both"/>
              <w:rPr/>
            </w:pPr>
            <w:r>
              <w:rPr/>
              <w:t>ADEC review and advice to the TGA.</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both"/>
              <w:rPr/>
            </w:pPr>
            <w:r>
              <w:rPr/>
              <w:t>Final decision by the TGA.</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Finalize conditions of registration.</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Advice to sponsor, invoice final 25% of evaluation fee.</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For new chemical entity, advise drug information centers, forensic laboratories, etc.</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bdr w:val="single" w:sz="12" w:space="1" w:color="000000"/>
        </w:rPr>
      </w:pPr>
      <w:r>
        <w:rPr>
          <w:rFonts w:ascii="Times New Roman;Times;Serif" w:hAnsi="Times New Roman;Times;Serif"/>
          <w:b/>
          <w:i/>
          <w:caps w:val="false"/>
          <w:smallCaps w:val="false"/>
          <w:sz w:val="20"/>
          <w:u w:val="single"/>
          <w:bdr w:val="single" w:sz="12" w:space="1" w:color="000000"/>
        </w:rPr>
        <w:t>Registration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8568" w:type="dxa"/>
        <w:jc w:val="left"/>
        <w:tblInd w:w="0" w:type="dxa"/>
        <w:tblLayout w:type="fixed"/>
        <w:tblCellMar>
          <w:top w:w="0" w:type="dxa"/>
          <w:left w:w="0" w:type="dxa"/>
          <w:bottom w:w="0" w:type="dxa"/>
          <w:right w:w="0" w:type="dxa"/>
        </w:tblCellMar>
      </w:tblPr>
      <w:tblGrid>
        <w:gridCol w:w="38"/>
        <w:gridCol w:w="17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pPr>
            <w:r>
              <w:rPr/>
              <w:t>Sponsor applies to register the product on the Australian Register of Therapeutic Goods.</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Supply is permitted once the applicable number is allocated.</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drug’s chemistry, toxicology and clinical use are evaluated using data submitted by the sponsoring company. Most of the evaluations are done within the TGA, but external evaluations can be used. When all the data have been evaluated, the application is considered by the Australian Drug Evaluation Committee (“ADEC”). This committee is a group of doctors appointed by the Minister to advise on the suitability of drugs for marketing in Australia. The TGA takes into consideration the advice received from the ADEC when making a final recommendation.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evaluation process relates to pre-marketing activity, but the TGA is also responsible for drugs after they are marketed.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Other activities under the control of the TGA include: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maintenance of the Australian Register of Therapeutic Goods for the registration and listing of products;</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control of drug and device exports from Australia;</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inspection and licensing of manufacturing premises;</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post marketing surveillance;</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pPr>
            <w:r>
              <w:rPr/>
              <w:t>adverse drug reaction monitoring;</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reports were received by the Adverse Drug Reactions Advisory Committee;</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medical device complaint reporting;</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both"/>
              <w:rPr/>
            </w:pPr>
            <w:r>
              <w:rPr/>
              <w:t>drug and device recalls;</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pPr>
            <w:r>
              <w:rPr/>
              <w:t>laboratory testing, sample testing;</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pPr>
            <w:r>
              <w:rPr/>
              <w:t>complaint reporting and follow up; and</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pPr>
            <w:r>
              <w:rPr/>
              <w:t>drug and device advertising controls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performance of the TGA is monitored in quarterly performance reports which are reviewed by the Industry/Government Consultative Committee. This committee has membership from the TGA, the Department of Finance, the Department of Industry, Science and Technology, and the peak industry organizations representing the manufacturers of prescription drugs, non-prescription drugs, medical devices and herbal and nutritional products.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the TGA does not meet the statutory timelines in approving a drug, then it forgoes 25% of the evaluation fee as a penalty. The sponsor concerned can also consider the outcome as a “deemed refusal” and appeal to the Administrative Appeals Tribunal for a resolution. For variations to the registration of a drug, the TGA must raise an objection within 45 working days, otherwise the application is deemed to be approved.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Pharmaceutical Coverage, Pricing and Reimbursement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Healthcare Law and Regulation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shd w:fill="FFFFFF" w:val="clear"/>
        <w:bidi w:val="0"/>
        <w:spacing w:before="0" w:after="0"/>
        <w:ind w:left="720" w:right="0" w:hanging="36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Health Insurance Portability and Accountability Act of 1996, which created additional federal criminal laws that prohibit, among other things, knowingly and willingly executing, or attempting to execute, a scheme or making false statements in connection with the delivery of or payment for health care benefits, items, or services;</w:t>
            </w:r>
          </w:p>
        </w:tc>
      </w:tr>
    </w:tbl>
    <w:p>
      <w:pPr>
        <w:pStyle w:val="TextBody"/>
        <w:shd w:fill="FFFFFF" w:val="clear"/>
        <w:bidi w:val="0"/>
        <w:spacing w:before="0" w:after="0"/>
        <w:ind w:left="720" w:right="0" w:hanging="36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transparency requirements known as the federal Physician Payments Sunshine Act, under the Patient Protection and Affordable Care Act, as amended by the Health Care Education Reconciliation Act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analogous state and foreign laws and regulations, such as state anti-kickback and false claims laws, which may apply to healthcare items or services that are reimbursed by non-governmental third-party payors, including private insurers.</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Healthcare Reform</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March 2010, the United States Congress enacted the Affordable Care Act (the “ACA”), which, among other things, includes changes to the coverage and payment for drug products under government health care programs. Among the provisions of the ACA of importance to our potential product candidates are: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annual, non-deductible fee on any entity that manufactures or imports specified branded prescription drugs and biologic agents, apportioned among these entities according to their market share in certain government healthcare programs;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tc>
      </w:tr>
    </w:tbl>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addressed a new methodology by which rebates owed by manufacturers under the Medicaid Drug Rebate Program are calculated for drugs that are inhaled, infused, instilled, implanted or injected;</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expanded the types of entities eligible for the 340B drug discount program;</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 and</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new Patient-Centered Outcomes Research Institute to oversee, identify priorities in, and conduct comparative clinical effectiveness research, along with funding for such research.</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in April 2013 and, due to subsequent legislative amendments to the statute, will remain in effect through 2030 unless additional Congressional action is taken. The reductions have been suspended temporarily through December 2021 in response to the COVID-19 pandemic.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were passed by the U.S. Senate. The ACA has also been challenged numerous times in various court cases, including challenges before the U.S. Supreme Court. In the most recent case (decided in June 2021) the Supreme Court held that the individual plaintiffs and states lacked standing to challenge the constitutionality of the ACA.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Previously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President Trump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(“CSR”), payments to insurance companies until Congress approves the appropriation of funds for such CSR payments. The loss of the CSR payments is expected to increase premiums on certain policies issued by qualified health plans under the ACA.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CSR claims made by health insurance companies for years 2018 and later, further litigation will be required to determine the amounts due, if any. Further, in June 2018, the U.S. Court of Appeals for the Federal Circuit ruled that the federal government was not required to pay more than $12 billion in Affordable Care Act risk corridor payments to third-party payors who argued the payments were owed to them. In April 2020, the United States Supreme Court reversed the U.S. Court of Appeals for the Federal Circuit’s decision and remanded the case to the U.S. Court of Federal Claims, concluding the government has an obligation to pay these risk corridor payments under the relevant formula.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bipartisan bill to appropriate funds for CSR payments was introduced in the Senate, but the future of that bill is uncertain. Further, each chamber of Congress has put forth multiple bills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during the next Congressional session. We will continue to evaluate the effect that the ACA and its possible repeal and replacement could have on our business.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Most recently, on August 16, 2022, the Inflation Reduction Act of 2022 was signed into law which provides for (i) the government to set or negotiate prices for select high-cost Medicare Part D (beginning in 2026) and Medicare Part B drugs (beginning in 2028) that are more than nine years (for small-molecule drugs) or 13 years (for biological products) from their FDA approval, (ii) manufacturers to pay a rebate for Medicare Part B and Part D drugs when prices increase faster than inflation beginning in 2022 for Medicare Part D and 2023 for Medicare Part B drugs, and (iii) Medicare Part D redesign which replaces the current coverage gap provisions and establishes a $2,000 cap for out-of-pocket limits costs for Medicare beneficiaries beginning in 2025, with manufacturers being responsible for 10% of costs up to the $2,000 cap and 20% after that cap is reached.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Future indications for Arakoda may justify higher pricing in principle, but cumulative health-care reforms inclusive of the IRA limit price increases and/or indication-based pricing without financial penalties if manufacturers’ products have Medicare coverage. The impact of these reforms on the pharmaceutical industry generally is in its infancy, and will depend on how or if they are implemented by regulators. We will monitor this issue to determine the effects of this legislation on our business – full implementation of the reforms may have a negative impact on maximizing the profitability, but the actual impact at this juncture is uncertain.</w:t>
      </w:r>
    </w:p>
    <w:p>
      <w:pPr>
        <w:pStyle w:val="TextBody"/>
        <w:shd w:fill="FFFFFF" w:val="clear"/>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Human Capital Resources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December 31, 2025, we had a total of three employees, all of whom are full-time. We also utilize the services of two part-time contractors.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bdr w:val="single" w:sz="12" w:space="1" w:color="000000"/>
        </w:rPr>
      </w:pPr>
      <w:r>
        <w:rPr>
          <w:rFonts w:ascii="Times New Roman;Times;Serif" w:hAnsi="Times New Roman;Times;Serif"/>
          <w:b/>
          <w:i w:val="false"/>
          <w:caps w:val="false"/>
          <w:smallCaps w:val="false"/>
          <w:sz w:val="20"/>
          <w:u w:val="single"/>
          <w:bdr w:val="single" w:sz="12" w:space="1" w:color="000000"/>
        </w:rPr>
        <w:t>Available Information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website address is </w:t>
      </w:r>
      <w:r>
        <w:rPr>
          <w:rFonts w:ascii="Times New Roman;Times;Serif" w:hAnsi="Times New Roman;Times;Serif"/>
          <w:b w:val="false"/>
          <w:i/>
          <w:caps w:val="false"/>
          <w:smallCaps w:val="false"/>
          <w:sz w:val="20"/>
          <w:bdr w:val="single" w:sz="12" w:space="1" w:color="000000"/>
        </w:rPr>
        <w:t>https://60degreespharma.com</w:t>
      </w:r>
      <w:r>
        <w:rPr>
          <w:rFonts w:ascii="Times New Roman;Times;Serif" w:hAnsi="Times New Roman;Times;Serif"/>
          <w:b w:val="false"/>
          <w:i w:val="false"/>
          <w:caps w:val="false"/>
          <w:smallCaps w:val="false"/>
          <w:sz w:val="20"/>
          <w:bdr w:val="single" w:sz="12" w:space="1" w:color="000000"/>
        </w:rPr>
        <w:t>. Our Annual Report on Form 10-K, Quarterly Reports on Form 10-Q, Current Reports on Form 8-K, any amendments to those reports, proxy and registration statements filed or furnished with the SEC, are available free of charge through our website. We make these materials available through our website as soon as reasonably practicable after we electronically file such materials with, or furnish such materials to, the SEC. The reports filed with the SEC by our executive officers and directors pursuant to Section 16 under the Exchange Act are also made available, free of charge on our website, as soon as reasonably practicable after copies of those filings are provided to us by those persons. These materials can be accessed through the “Investor Relations” section of our website. The information contained in, or that can be accessed through, our website is not part of this Annual Report on Form 10-K.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a_004"/>
      <w:bookmarkEnd w:id="5"/>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2098"/>
        <w:gridCol w:w="60"/>
        <w:gridCol w:w="217"/>
        <w:gridCol w:w="7830"/>
      </w:tblGrid>
      <w:tr>
        <w:trPr/>
        <w:tc>
          <w:tcPr>
            <w:tcW w:w="2098" w:type="dxa"/>
            <w:tcBorders/>
            <w:shd w:fill="FFFFFF" w:val="clear"/>
            <w:vAlign w:val="center"/>
          </w:tcPr>
          <w:p>
            <w:pPr>
              <w:pStyle w:val="TableContents"/>
              <w:bidi w:val="0"/>
              <w:spacing w:before="0" w:after="283"/>
              <w:ind w:left="0" w:right="0" w:hanging="180"/>
              <w:jc w:val="left"/>
              <w:rPr>
                <w:b/>
                <w:sz w:val="20"/>
              </w:rPr>
            </w:pPr>
            <w:r>
              <w:rPr>
                <w:b/>
                <w:sz w:val="20"/>
              </w:rPr>
              <w:t>Common Stock Offered by the Selling Stockholders</w:t>
            </w:r>
            <w:r>
              <w:rPr>
                <w:b/>
                <w:position w:val="7"/>
                <w:sz w:val="16"/>
                <w:sz w:val="20"/>
              </w:rPr>
              <w:t>(1)</w:t>
            </w:r>
            <w:r>
              <w:rPr>
                <w:b/>
                <w:sz w:val="20"/>
              </w:rPr>
              <w:t>:</w:t>
            </w:r>
          </w:p>
        </w:tc>
        <w:tc>
          <w:tcPr>
            <w:tcW w:w="60" w:type="dxa"/>
            <w:tcBorders/>
            <w:shd w:fill="FFFFFF" w:val="clear"/>
            <w:vAlign w:val="center"/>
          </w:tcPr>
          <w:p>
            <w:pPr>
              <w:pStyle w:val="TableContents"/>
              <w:bidi w:val="0"/>
              <w:spacing w:before="0" w:after="283"/>
              <w:jc w:val="left"/>
              <w:rPr/>
            </w:pPr>
            <w:r>
              <w:rPr/>
              <w:t> </w:t>
            </w:r>
          </w:p>
        </w:tc>
        <w:tc>
          <w:tcPr>
            <w:tcW w:w="8047" w:type="dxa"/>
            <w:gridSpan w:val="2"/>
            <w:tcBorders/>
            <w:shd w:fill="FFFFFF" w:val="clear"/>
            <w:vAlign w:val="center"/>
          </w:tcPr>
          <w:p>
            <w:pPr>
              <w:pStyle w:val="TableContents"/>
              <w:bidi w:val="0"/>
              <w:spacing w:before="0" w:after="283"/>
              <w:ind w:left="0" w:right="0" w:hanging="180"/>
              <w:jc w:val="both"/>
              <w:rPr>
                <w:sz w:val="20"/>
              </w:rPr>
            </w:pPr>
            <w:r>
              <w:rPr>
                <w:sz w:val="20"/>
              </w:rPr>
              <w:t>We are registering the resale by the selling stockholders named in this prospectus, or their permitted transferees, up to an aggregate of  shares of our Common Stock, par value $0.0001, consisting of:</w:t>
            </w:r>
          </w:p>
        </w:tc>
      </w:tr>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both"/>
              <w:rPr/>
            </w:pPr>
            <w:r>
              <w:rPr/>
              <w:t>●</w:t>
            </w:r>
          </w:p>
        </w:tc>
        <w:tc>
          <w:tcPr>
            <w:tcW w:w="7830" w:type="dxa"/>
            <w:tcBorders/>
            <w:shd w:fill="FFFFFF" w:val="clear"/>
            <w:vAlign w:val="center"/>
          </w:tcPr>
          <w:p>
            <w:pPr>
              <w:pStyle w:val="TableContents"/>
              <w:bidi w:val="0"/>
              <w:spacing w:before="0" w:after="283"/>
              <w:ind w:left="0" w:right="0" w:hanging="180"/>
              <w:jc w:val="both"/>
              <w:rPr>
                <w:sz w:val="20"/>
              </w:rPr>
            </w:pPr>
            <w:r>
              <w:rPr>
                <w:sz w:val="20"/>
              </w:rPr>
              <w:t>191,571 shares of common stock, par value $0.0001 per share;</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xml:space="preserve">● </w:t>
            </w:r>
          </w:p>
        </w:tc>
        <w:tc>
          <w:tcPr>
            <w:tcW w:w="7830" w:type="dxa"/>
            <w:tcBorders/>
            <w:shd w:fill="FFFFFF" w:val="clear"/>
            <w:vAlign w:val="center"/>
          </w:tcPr>
          <w:p>
            <w:pPr>
              <w:pStyle w:val="TableContents"/>
              <w:bidi w:val="0"/>
              <w:spacing w:before="0" w:after="283"/>
              <w:ind w:left="0" w:right="0" w:hanging="180"/>
              <w:jc w:val="both"/>
              <w:rPr>
                <w:sz w:val="20"/>
              </w:rPr>
            </w:pPr>
            <w:r>
              <w:rPr>
                <w:sz w:val="20"/>
              </w:rPr>
              <w:t>383,142 shares of Common Stock issuable upon exercise of Pre-Funded warrants at an exercise price of $0.0001 per share;</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w:t>
            </w:r>
          </w:p>
        </w:tc>
        <w:tc>
          <w:tcPr>
            <w:tcW w:w="7830" w:type="dxa"/>
            <w:tcBorders/>
            <w:shd w:fill="FFFFFF" w:val="clear"/>
            <w:vAlign w:val="center"/>
          </w:tcPr>
          <w:p>
            <w:pPr>
              <w:pStyle w:val="TableContents"/>
              <w:bidi w:val="0"/>
              <w:spacing w:before="0" w:after="283"/>
              <w:ind w:left="0" w:right="0" w:hanging="180"/>
              <w:jc w:val="both"/>
              <w:rPr>
                <w:sz w:val="20"/>
              </w:rPr>
            </w:pPr>
            <w:r>
              <w:rPr>
                <w:sz w:val="20"/>
              </w:rPr>
              <w:t xml:space="preserve">574,713 shares of Common Stock issuable upon exercise of Series A Warrants at an exercise price of $1.74 per share;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w:t>
            </w:r>
          </w:p>
        </w:tc>
        <w:tc>
          <w:tcPr>
            <w:tcW w:w="7830" w:type="dxa"/>
            <w:tcBorders/>
            <w:shd w:fill="FFFFFF" w:val="clear"/>
            <w:vAlign w:val="center"/>
          </w:tcPr>
          <w:p>
            <w:pPr>
              <w:pStyle w:val="TableContents"/>
              <w:bidi w:val="0"/>
              <w:spacing w:before="0" w:after="283"/>
              <w:ind w:left="0" w:right="0" w:hanging="180"/>
              <w:jc w:val="both"/>
              <w:rPr>
                <w:sz w:val="20"/>
              </w:rPr>
            </w:pPr>
            <w:r>
              <w:rPr>
                <w:sz w:val="20"/>
              </w:rPr>
              <w:t>574,713 shares of Common Stock issuable upon exercise of Series B Warrants at an exercise price of $1.74 per share; and</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xml:space="preserve">● </w:t>
            </w:r>
          </w:p>
        </w:tc>
        <w:tc>
          <w:tcPr>
            <w:tcW w:w="7830" w:type="dxa"/>
            <w:tcBorders/>
            <w:shd w:fill="FFFFFF" w:val="clear"/>
            <w:vAlign w:val="center"/>
          </w:tcPr>
          <w:p>
            <w:pPr>
              <w:pStyle w:val="TableContents"/>
              <w:bidi w:val="0"/>
              <w:spacing w:before="0" w:after="283"/>
              <w:ind w:left="0" w:right="0" w:hanging="180"/>
              <w:jc w:val="both"/>
              <w:rPr>
                <w:sz w:val="20"/>
              </w:rPr>
            </w:pPr>
            <w:r>
              <w:rPr>
                <w:sz w:val="20"/>
              </w:rPr>
              <w:t xml:space="preserve">43,103 shares of Common Stock issuable upon the excise of the Placement Agent Warrants at an exercise price of $2.175 per share.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w:t>
            </w:r>
          </w:p>
        </w:tc>
        <w:tc>
          <w:tcPr>
            <w:tcW w:w="7830" w:type="dxa"/>
            <w:tcBorders/>
            <w:shd w:fill="FFFFFF" w:val="clear"/>
            <w:vAlign w:val="center"/>
          </w:tcPr>
          <w:p>
            <w:pPr>
              <w:pStyle w:val="TableContents"/>
              <w:bidi w:val="0"/>
              <w:spacing w:before="0" w:after="283"/>
              <w:ind w:left="0" w:right="0" w:hanging="180"/>
              <w:jc w:val="both"/>
              <w:rPr/>
            </w:pPr>
            <w:r>
              <w:rPr/>
              <w:t xml:space="preserve">2,351 shares of Common Stock issuable upon exercise of previously issued Placement Agent Warrants at various dates with a weighted average exercise price of $14.96 per share. </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b/>
                <w:sz w:val="20"/>
              </w:rPr>
            </w:pPr>
            <w:r>
              <w:rPr>
                <w:b/>
                <w:sz w:val="20"/>
              </w:rPr>
              <w:t>Plan of Distribution:</w:t>
            </w:r>
          </w:p>
        </w:tc>
        <w:tc>
          <w:tcPr>
            <w:tcW w:w="60" w:type="dxa"/>
            <w:tcBorders/>
            <w:shd w:fill="FFFFFF" w:val="clear"/>
            <w:vAlign w:val="center"/>
          </w:tcPr>
          <w:p>
            <w:pPr>
              <w:pStyle w:val="TableContents"/>
              <w:bidi w:val="0"/>
              <w:spacing w:before="0" w:after="283"/>
              <w:jc w:val="both"/>
              <w:rPr/>
            </w:pPr>
            <w:r>
              <w:rPr/>
              <w:t> </w:t>
            </w:r>
          </w:p>
        </w:tc>
        <w:tc>
          <w:tcPr>
            <w:tcW w:w="8047" w:type="dxa"/>
            <w:gridSpan w:val="2"/>
            <w:tcBorders/>
            <w:shd w:fill="FFFFFF" w:val="clear"/>
            <w:vAlign w:val="center"/>
          </w:tcPr>
          <w:p>
            <w:pPr>
              <w:pStyle w:val="TableContents"/>
              <w:bidi w:val="0"/>
              <w:spacing w:before="0" w:after="283"/>
              <w:ind w:left="0" w:right="0" w:hanging="180"/>
              <w:jc w:val="both"/>
              <w:rPr>
                <w:sz w:val="20"/>
              </w:rPr>
            </w:pPr>
            <w:r>
              <w:rPr>
                <w:sz w:val="20"/>
              </w:rPr>
              <w:t>The selling stockholders will determine when and how it will sell the Common Stock offered in this prospectus, as described in “Plan of Distribution” on page 43 of this prospectus.</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b/>
                <w:sz w:val="20"/>
              </w:rPr>
            </w:pPr>
            <w:r>
              <w:rPr>
                <w:b/>
                <w:sz w:val="20"/>
              </w:rPr>
              <w:t>Use of Proceeds:</w:t>
            </w:r>
          </w:p>
        </w:tc>
        <w:tc>
          <w:tcPr>
            <w:tcW w:w="60" w:type="dxa"/>
            <w:tcBorders/>
            <w:shd w:fill="FFFFFF" w:val="clear"/>
            <w:vAlign w:val="center"/>
          </w:tcPr>
          <w:p>
            <w:pPr>
              <w:pStyle w:val="TableContents"/>
              <w:bidi w:val="0"/>
              <w:spacing w:before="0" w:after="283"/>
              <w:jc w:val="both"/>
              <w:rPr/>
            </w:pPr>
            <w:r>
              <w:rPr/>
              <w:t> </w:t>
            </w:r>
          </w:p>
        </w:tc>
        <w:tc>
          <w:tcPr>
            <w:tcW w:w="8047" w:type="dxa"/>
            <w:gridSpan w:val="2"/>
            <w:tcBorders/>
            <w:shd w:fill="FFFFFF" w:val="clear"/>
            <w:vAlign w:val="center"/>
          </w:tcPr>
          <w:p>
            <w:pPr>
              <w:pStyle w:val="TableContents"/>
              <w:bidi w:val="0"/>
              <w:spacing w:before="0" w:after="283"/>
              <w:ind w:left="0" w:right="0" w:hanging="180"/>
              <w:jc w:val="both"/>
              <w:rPr>
                <w:sz w:val="20"/>
              </w:rPr>
            </w:pPr>
            <w:r>
              <w:rPr>
                <w:sz w:val="20"/>
              </w:rPr>
              <w:t>We will not receive any proceeds from the sale of shares of our Common Stock by the selling stockholders.</w:t>
            </w:r>
          </w:p>
        </w:tc>
      </w:tr>
      <w:tr>
        <w:trPr/>
        <w:tc>
          <w:tcPr>
            <w:tcW w:w="209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both"/>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both"/>
              <w:rPr>
                <w:b/>
                <w:sz w:val="20"/>
              </w:rPr>
            </w:pPr>
            <w:r>
              <w:rPr>
                <w:b/>
                <w:sz w:val="20"/>
              </w:rPr>
              <w:t>Risk Factors:</w:t>
            </w:r>
          </w:p>
        </w:tc>
        <w:tc>
          <w:tcPr>
            <w:tcW w:w="60" w:type="dxa"/>
            <w:tcBorders/>
            <w:shd w:fill="FFFFFF" w:val="clear"/>
            <w:vAlign w:val="center"/>
          </w:tcPr>
          <w:p>
            <w:pPr>
              <w:pStyle w:val="TableContents"/>
              <w:bidi w:val="0"/>
              <w:spacing w:before="0" w:after="283"/>
              <w:jc w:val="both"/>
              <w:rPr/>
            </w:pPr>
            <w:r>
              <w:rPr/>
              <w:t> </w:t>
            </w:r>
          </w:p>
        </w:tc>
        <w:tc>
          <w:tcPr>
            <w:tcW w:w="8047" w:type="dxa"/>
            <w:gridSpan w:val="2"/>
            <w:tcBorders/>
            <w:shd w:fill="FFFFFF" w:val="clear"/>
            <w:vAlign w:val="center"/>
          </w:tcPr>
          <w:p>
            <w:pPr>
              <w:pStyle w:val="TableContents"/>
              <w:bidi w:val="0"/>
              <w:spacing w:before="0" w:after="283"/>
              <w:ind w:left="0" w:right="0" w:hanging="180"/>
              <w:jc w:val="both"/>
              <w:rPr>
                <w:sz w:val="20"/>
              </w:rPr>
            </w:pPr>
            <w:r>
              <w:rPr>
                <w:sz w:val="20"/>
              </w:rPr>
              <w:t>Investing in our Common Stock involves significant risks. See “Risk Factors” on page 39 of this prospectus and under similar headings in the documents incorporated by reference into this prospectus for a discussion of the factors you should carefully consider before deciding to invest in our Common Stock.</w:t>
            </w:r>
          </w:p>
        </w:tc>
      </w:tr>
      <w:tr>
        <w:trPr/>
        <w:tc>
          <w:tcPr>
            <w:tcW w:w="2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830" w:type="dxa"/>
            <w:tcBorders/>
            <w:shd w:fill="FFFFFF" w:val="clear"/>
            <w:vAlign w:val="center"/>
          </w:tcPr>
          <w:p>
            <w:pPr>
              <w:pStyle w:val="TableContents"/>
              <w:bidi w:val="0"/>
              <w:spacing w:before="0" w:after="283"/>
              <w:ind w:left="0" w:right="0" w:hanging="180"/>
              <w:jc w:val="both"/>
              <w:rPr/>
            </w:pPr>
            <w:r>
              <w:rPr/>
              <w:t> </w:t>
            </w:r>
          </w:p>
        </w:tc>
      </w:tr>
      <w:tr>
        <w:trPr/>
        <w:tc>
          <w:tcPr>
            <w:tcW w:w="2098" w:type="dxa"/>
            <w:tcBorders/>
            <w:shd w:fill="FFFFFF" w:val="clear"/>
            <w:vAlign w:val="center"/>
          </w:tcPr>
          <w:p>
            <w:pPr>
              <w:pStyle w:val="TableContents"/>
              <w:bidi w:val="0"/>
              <w:spacing w:before="0" w:after="283"/>
              <w:jc w:val="left"/>
              <w:rPr>
                <w:b/>
                <w:sz w:val="20"/>
              </w:rPr>
            </w:pPr>
            <w:r>
              <w:rPr>
                <w:b/>
                <w:sz w:val="20"/>
              </w:rPr>
              <w:t>Nasdaq symbol:</w:t>
            </w:r>
          </w:p>
        </w:tc>
        <w:tc>
          <w:tcPr>
            <w:tcW w:w="60" w:type="dxa"/>
            <w:tcBorders/>
            <w:shd w:fill="FFFFFF" w:val="clear"/>
            <w:vAlign w:val="center"/>
          </w:tcPr>
          <w:p>
            <w:pPr>
              <w:pStyle w:val="TableContents"/>
              <w:bidi w:val="0"/>
              <w:spacing w:before="0" w:after="283"/>
              <w:jc w:val="left"/>
              <w:rPr/>
            </w:pPr>
            <w:r>
              <w:rPr/>
              <w:t> </w:t>
            </w:r>
          </w:p>
        </w:tc>
        <w:tc>
          <w:tcPr>
            <w:tcW w:w="8047" w:type="dxa"/>
            <w:gridSpan w:val="2"/>
            <w:tcBorders/>
            <w:shd w:fill="FFFFFF" w:val="clear"/>
            <w:vAlign w:val="center"/>
          </w:tcPr>
          <w:p>
            <w:pPr>
              <w:pStyle w:val="TableContents"/>
              <w:bidi w:val="0"/>
              <w:spacing w:before="0" w:after="283"/>
              <w:jc w:val="both"/>
              <w:rPr/>
            </w:pPr>
            <w:r>
              <w:rPr/>
              <w:t>“</w:t>
            </w:r>
            <w:r>
              <w:rPr>
                <w:sz w:val="20"/>
              </w:rPr>
              <w:t>SXTP” and “SXTPW.”</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sz w:val="20"/>
              </w:rPr>
            </w:pPr>
            <w:r>
              <w:rPr>
                <w:sz w:val="20"/>
              </w:rPr>
              <w:t>Throughout this prospectus, when we refer to the shares of our Common Stock being registered on behalf of the selling stockholders for offer and resale, we are referring to the shares of Common Stock issued or issuable to the selling stockholders in connection with the Private Placement, including the shares issued or issuable upon exercise of the Warrants. When we refer to the selling stockholders in this prospectus, we are referring to the selling stockholders identified in this prospectus and, as applicable, its permitted transferees or other successors-in-interest that may be identified in a supplement to this prospectus or, if required, a post-effective amendment to the registration statement of which this prospectus is a part.</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deciding whether to invest in our securities, you should consider carefully the risks and uncertainties described under this section and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the applicable prospectus supplement, and discussed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and the documents incorporated by reference that we may authorize for use in connection with a specific offering. The risks described in this section and in these documents are not the only ones we face, but those that we consider being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above 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Registered Securities by the selling stockholders. We will bear all other costs, fees and expenses incurred by us, or by the selling stockholders, in effecting the registration of the Registered Securities. The selling stockholders, however, will pay any other expenses incurred in selling their Registered Securities, including any brokerage commissions or costs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on a resale basis, by the selling stockholders identified herein or their permitted transferees, of up to an aggregate of 1,769,593 shares of our common stock, par value $0.0001 per share (“Common Stock”), consisting of: (i) 191,571 shares of common stock, (ii) 383,142 shares of Common Stock issuable upon exercise of pre-funded warrants held by certain selling stockholders (the “Pre-Funded Warrants”), (iii) 574,713 shares of Common Stock issuable upon exercise of Series A warrants (the “Series A Warrants”), (iv) 574,713 shares of Common Stock issuable upon exercise of Series B warrants (the “Series B Warrants,” together with Series A Warrants, the “Common Warrants”) (and collectively with the Pre-Funded Warrants and Common Warrants, the “Purchase Warrants”), and (v) 45,454 shares of Common Stock issuable upon the exercise of placement agent warrants (the “Placement Agent Warrants” and together with the Purchase Warrants, the “Warrants”) that were issued to H.C. Wainwright &amp; Co., LLC (“Wainwright” or the “Placement Agent”) as partial compensation for Wainwright acting as placement agent in connection with the Private Placement (as defined below) and are held by certain designees (and certain of their assignees) of Wainwright, inclusive of 2,351 warrants issued to the Placement Agent as compensation in previous financing transactions. The Warrants were issued to the selling stockholders in connection with a private placement we completed on July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registered for resale hereby consist of the shares that have been issued or are issuable upon exercise of outstanding Warrants that were issued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relating to such registration other than brokerage commissions in connection with the sale of the Common Stock under this prospectus by the respective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share ownership has been furnished by the selling stockholders. The Common Stock being offered is being registered to permit secondary trading of the shares and the selling stockholders may offer all or part of the Common Stock owned for resale from time to time. Except as set forth in this prospectus with respect to Wainwright, which acted as the placement agent in connection with the private placement and other offerings we consummated, and except for certain ownership of our securities, the selling stockholders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 also includes any transferees, pledgees, assignees, donees, distributes or other successors in interest to the selling stockholders named in the table below. To our knowledge, each person named in the table has sole voting and investment power with respect to the Common Stock set forth opposite such person’s name. We will file a supplement to this prospectus (or a post-effective amendment hereto, if necessary) to name successors to any named selling stockholder who is able to use this prospectus to resell the securities registered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issuable to the selling stockholders, upon exercise of the Warrants. For additional information regarding the issuances of those shares of Purchase Warrants and Placement Agent Warrants, see “Business - Recent Developments” above. We are registering the shares of Purchase Warrants and Placement Agent Warrants in order to permit the selling stockholders to offer the shares for resale from time to time. Except for the ownership of the shares of the Purchase Warrants and Placement Agent Warrants, the selling stockholders have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Private Placement Common Stock and Warrants, as of August 13, 2026, assuming exercise of the Warrants held by the selling stockholders on that date, without regard to any limitations on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stockholders, this prospectus generally covers the resale of the sum of (i) the number of shares of Private Placement Common Stock issued to the selling stockholders in the “Business - Recent Developments”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if any. The selling stockholders may sell all, some or none of their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the selling stockholders and the shares of Common Stock beneficially owned by them and offered by them in this prospectus. The percentage of ownership of the selling stockholders in the following table is based upon 3,516,988 shares of Common Stock outstanding as of August 13,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74"/>
        <w:gridCol w:w="60"/>
        <w:gridCol w:w="102"/>
        <w:gridCol w:w="1360"/>
        <w:gridCol w:w="60"/>
        <w:gridCol w:w="60"/>
        <w:gridCol w:w="147"/>
        <w:gridCol w:w="1986"/>
        <w:gridCol w:w="60"/>
        <w:gridCol w:w="60"/>
        <w:gridCol w:w="102"/>
        <w:gridCol w:w="1360"/>
        <w:gridCol w:w="60"/>
        <w:gridCol w:w="60"/>
        <w:gridCol w:w="254"/>
        <w:gridCol w:w="1366"/>
        <w:gridCol w:w="234"/>
      </w:tblGrid>
      <w:tr>
        <w:trPr/>
        <w:tc>
          <w:tcPr>
            <w:tcW w:w="2874" w:type="dxa"/>
            <w:tcBorders>
              <w:bottom w:val="single" w:sz="12" w:space="0" w:color="000000"/>
            </w:tcBorders>
            <w:vAlign w:val="center"/>
          </w:tcPr>
          <w:p>
            <w:pPr>
              <w:pStyle w:val="TableContents"/>
              <w:bidi w:val="0"/>
              <w:spacing w:before="0" w:after="283"/>
              <w:jc w:val="left"/>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462"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Owned Prior to</w:t>
              <w:br/>
              <w:t>Offering</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33"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Number of</w:t>
              <w:br/>
              <w:t>Shares to be Sold Pursuant</w:t>
              <w:br/>
              <w:t>to this Prospectus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2"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Owned After</w:t>
              <w:br/>
              <w:t>Offering</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 Owned After</w:t>
              <w:br/>
              <w:t>Offering</w:t>
            </w:r>
            <w:r>
              <w:rPr>
                <w:rFonts w:ascii="Times New Roman;Times;Serif" w:hAnsi="Times New Roman;Times;Serif"/>
                <w:b/>
                <w:position w:val="7"/>
                <w:sz w:val="16"/>
                <w:sz w:val="20"/>
              </w:rPr>
              <w:t>(2)</w:t>
            </w:r>
          </w:p>
        </w:tc>
        <w:tc>
          <w:tcPr>
            <w:tcW w:w="234" w:type="dxa"/>
            <w:tcBorders/>
            <w:tcMar>
              <w:bottom w:w="0" w:type="dxa"/>
            </w:tcMar>
            <w:vAlign w:val="center"/>
          </w:tcPr>
          <w:p>
            <w:pPr>
              <w:pStyle w:val="TableContents"/>
              <w:bidi w:val="0"/>
              <w:spacing w:before="0" w:after="283"/>
              <w:jc w:val="left"/>
              <w:rPr/>
            </w:pPr>
            <w:r>
              <w:rPr/>
              <w:t> </w:t>
            </w:r>
          </w:p>
        </w:tc>
      </w:tr>
      <w:tr>
        <w:trPr/>
        <w:tc>
          <w:tcPr>
            <w:tcW w:w="28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Master Fund Ltd</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222,285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574,713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222,285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66" w:type="dxa"/>
            <w:tcBorders/>
            <w:shd w:fill="CCEEFF" w:val="clear"/>
            <w:tcMar>
              <w:bottom w:w="0" w:type="dxa"/>
            </w:tcMar>
            <w:vAlign w:val="center"/>
          </w:tcPr>
          <w:p>
            <w:pPr>
              <w:pStyle w:val="TableContents"/>
              <w:bidi w:val="0"/>
              <w:spacing w:before="0" w:after="283"/>
              <w:jc w:val="right"/>
              <w:rPr/>
            </w:pPr>
            <w:r>
              <w:rPr/>
              <w:t>4.9</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7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Intracoastal Capital LLC</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882,256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574,713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307,543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366" w:type="dxa"/>
            <w:tcBorders/>
            <w:shd w:fill="FFFFFF" w:val="clear"/>
            <w:tcMar>
              <w:bottom w:w="0" w:type="dxa"/>
            </w:tcMar>
            <w:vAlign w:val="center"/>
          </w:tcPr>
          <w:p>
            <w:pPr>
              <w:pStyle w:val="TableContents"/>
              <w:bidi w:val="0"/>
              <w:spacing w:before="0" w:after="283"/>
              <w:jc w:val="right"/>
              <w:rPr/>
            </w:pPr>
            <w:r>
              <w:rPr/>
              <w:t>6.8</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Lind Global Fund III LP</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191,571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574,713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66" w:type="dxa"/>
            <w:tcBorders/>
            <w:shd w:fill="CCEEFF" w:val="clear"/>
            <w:tcMar>
              <w:bottom w:w="0" w:type="dxa"/>
            </w:tcMar>
            <w:vAlign w:val="center"/>
          </w:tcPr>
          <w:p>
            <w:pPr>
              <w:pStyle w:val="TableContents"/>
              <w:bidi w:val="0"/>
              <w:spacing w:before="0" w:after="283"/>
              <w:jc w:val="right"/>
              <w:rPr/>
            </w:pPr>
            <w:r>
              <w:rPr/>
              <w:t>0.0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7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Augustus Trading LLC</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27,640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27,640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366" w:type="dxa"/>
            <w:tcBorders/>
            <w:shd w:fill="FFFFFF" w:val="clear"/>
            <w:tcMar>
              <w:bottom w:w="0" w:type="dxa"/>
            </w:tcMar>
            <w:vAlign w:val="center"/>
          </w:tcPr>
          <w:p>
            <w:pPr>
              <w:pStyle w:val="TableContents"/>
              <w:bidi w:val="0"/>
              <w:spacing w:before="0" w:after="283"/>
              <w:jc w:val="right"/>
              <w:rPr/>
            </w:pPr>
            <w:r>
              <w:rPr/>
              <w:t>0.0</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Drive Holdings LLC</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3,806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3,806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66" w:type="dxa"/>
            <w:tcBorders/>
            <w:shd w:fill="CCEEFF" w:val="clear"/>
            <w:tcMar>
              <w:bottom w:w="0" w:type="dxa"/>
            </w:tcMar>
            <w:vAlign w:val="center"/>
          </w:tcPr>
          <w:p>
            <w:pPr>
              <w:pStyle w:val="TableContents"/>
              <w:bidi w:val="0"/>
              <w:spacing w:before="0" w:after="283"/>
              <w:jc w:val="right"/>
              <w:rPr/>
            </w:pPr>
            <w:r>
              <w:rPr/>
              <w:t>0.0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87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Worthman</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1,129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431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698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366" w:type="dxa"/>
            <w:tcBorders/>
            <w:shd w:fill="FFFFFF" w:val="clear"/>
            <w:tcMar>
              <w:bottom w:w="0" w:type="dxa"/>
            </w:tcMar>
            <w:vAlign w:val="center"/>
          </w:tcPr>
          <w:p>
            <w:pPr>
              <w:pStyle w:val="TableContents"/>
              <w:bidi w:val="0"/>
              <w:spacing w:before="0" w:after="283"/>
              <w:jc w:val="right"/>
              <w:rPr/>
            </w:pPr>
            <w:r>
              <w:rPr/>
              <w:t>0.0</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8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Noam Rubinstein</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35,577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13,577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366" w:type="dxa"/>
            <w:tcBorders/>
            <w:shd w:fill="CCEEFF" w:val="clear"/>
            <w:tcMar>
              <w:bottom w:w="0" w:type="dxa"/>
            </w:tcMar>
            <w:vAlign w:val="center"/>
          </w:tcPr>
          <w:p>
            <w:pPr>
              <w:pStyle w:val="TableContents"/>
              <w:bidi w:val="0"/>
              <w:spacing w:before="0" w:after="283"/>
              <w:jc w:val="right"/>
              <w:rPr/>
            </w:pPr>
            <w:r>
              <w:rPr/>
              <w:t>0.0</w:t>
            </w:r>
          </w:p>
        </w:tc>
        <w:tc>
          <w:tcPr>
            <w:tcW w:w="23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20"/>
              </w:rPr>
            </w:pPr>
            <w:r>
              <w:rPr>
                <w:sz w:val="20"/>
              </w:rPr>
              <w:t>(1)</w:t>
            </w:r>
          </w:p>
        </w:tc>
        <w:tc>
          <w:tcPr>
            <w:tcW w:w="9993" w:type="dxa"/>
            <w:tcBorders/>
            <w:vAlign w:val="center"/>
          </w:tcPr>
          <w:p>
            <w:pPr>
              <w:pStyle w:val="TableContents"/>
              <w:bidi w:val="0"/>
              <w:spacing w:before="0" w:after="283"/>
              <w:jc w:val="both"/>
              <w:rPr>
                <w:sz w:val="20"/>
              </w:rPr>
            </w:pPr>
            <w:r>
              <w:rPr>
                <w:sz w:val="20"/>
              </w:rPr>
              <w:t>For each selling stockholder, includes shares of Common Stock known by us to be held by such selling stockholder as of the date of the prospectus plus any shares of Common Stock that are issuable upon exercise of warrants that are being registered hereunder without giving effect to any beneficial ownership limitations that may exist on such warrants. This column does not include any other securities that a selling stockholder may hold, including any other warrants that such selling stockholder may hold, that are not applicable to this prospectus.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sz w:val="20"/>
              </w:rPr>
            </w:pPr>
            <w:r>
              <w:rPr>
                <w:sz w:val="20"/>
              </w:rPr>
              <w:t>(2)</w:t>
            </w:r>
          </w:p>
        </w:tc>
        <w:tc>
          <w:tcPr>
            <w:tcW w:w="10001" w:type="dxa"/>
            <w:tcBorders/>
            <w:vAlign w:val="center"/>
          </w:tcPr>
          <w:p>
            <w:pPr>
              <w:pStyle w:val="TableContents"/>
              <w:bidi w:val="0"/>
              <w:spacing w:before="0" w:after="283"/>
              <w:jc w:val="both"/>
              <w:rPr>
                <w:sz w:val="20"/>
              </w:rPr>
            </w:pPr>
            <w:r>
              <w:rPr>
                <w:sz w:val="20"/>
              </w:rPr>
              <w:t>Assumes the sale of all shares of Common Stock offered pursuant to this prospectus.</w:t>
            </w:r>
          </w:p>
        </w:tc>
      </w:tr>
      <w:tr>
        <w:trPr/>
        <w:tc>
          <w:tcPr>
            <w:tcW w:w="20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left"/>
              <w:rPr>
                <w:sz w:val="20"/>
              </w:rPr>
            </w:pPr>
            <w:r>
              <w:rPr>
                <w:sz w:val="20"/>
              </w:rPr>
              <w:t>(3)</w:t>
            </w:r>
          </w:p>
        </w:tc>
        <w:tc>
          <w:tcPr>
            <w:tcW w:w="10001" w:type="dxa"/>
            <w:tcBorders/>
            <w:vAlign w:val="center"/>
          </w:tcPr>
          <w:p>
            <w:pPr>
              <w:pStyle w:val="TableContents"/>
              <w:bidi w:val="0"/>
              <w:spacing w:before="0" w:after="283"/>
              <w:jc w:val="both"/>
              <w:rPr>
                <w:sz w:val="20"/>
              </w:rPr>
            </w:pPr>
            <w:r>
              <w:rPr>
                <w:sz w:val="20"/>
              </w:rPr>
              <w:t>The securities to be sold pursuant to this prospectus consist of up to 574,713 (subject to adjustments) shares of Common Stock, consisting of 191,571 shares of Common Stock issued or issuable upon exercise of Pre-Funded Warrants, 191,571 shares of Common Stock issuable upon exercise of Series A Warrants and 191,571 shares of Common Stock issuable upon exercise of Series B Warrants, all of which are directly held by Armistice Capital Master Fund Ltd. (the “Master Fund”), a Cayman Islands exempted company, and may be deemed to be indirectly beneficially owned by Armistice Capital, LLC (“Armistice Capital”), as the investment manager of the Master Fund; and (ii) Steven Boyd, as the managing member of Armistice Capital. Armistice Capital Master Fund Ltd also owns 144,928 Series A Warrants, with an adjusted strike price of $27.60. The Pre-Funded Warrants are subject to a 9.99% beneficial ownership limitation and the Common Warrants are subject to a 4.99% beneficial ownership limitations, which limitations prohibit the Selling Stockholder and its affiliates owning, after exercise, a number of shares of Common Stock in excess of the beneficial ownership limitation. The address of the Armistice Capital Master Fund Ltd. is c/o Armistice Capital, LLC, 510 Madison Avenue, 7th Floor, New York, NY 10022.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(4)</w:t>
            </w:r>
          </w:p>
        </w:tc>
        <w:tc>
          <w:tcPr>
            <w:tcW w:w="9999" w:type="dxa"/>
            <w:tcBorders/>
            <w:vAlign w:val="center"/>
          </w:tcPr>
          <w:p>
            <w:pPr>
              <w:pStyle w:val="TableContents"/>
              <w:bidi w:val="0"/>
              <w:spacing w:before="0" w:after="283"/>
              <w:jc w:val="both"/>
              <w:rPr>
                <w:sz w:val="20"/>
              </w:rPr>
            </w:pPr>
            <w:r>
              <w:rPr>
                <w:sz w:val="20"/>
              </w:rPr>
              <w:t>The securities to be sold pursuant to this prospectus consist of up to 574,713 (subject to adjustments) shares of Common Stock, consisting of 191,571 shares of Common Stock issued or issuable upon exercise of Pre-Funded Warrants, 191,571 shares of Common Stock issuable upon exercise of Series A Warrants and 191,571 shares of Common Stock issuable upon exercise of Series B Warrants.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address of the Intracoastal is c/o Intracoastal Capital LLC, 245 Palm Trail, Delray Beach FL 33483.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sz w:val="20"/>
              </w:rPr>
            </w:pPr>
            <w:r>
              <w:rPr>
                <w:sz w:val="20"/>
              </w:rPr>
              <w:t>(5)</w:t>
            </w:r>
          </w:p>
        </w:tc>
        <w:tc>
          <w:tcPr>
            <w:tcW w:w="9997" w:type="dxa"/>
            <w:tcBorders/>
            <w:vAlign w:val="center"/>
          </w:tcPr>
          <w:p>
            <w:pPr>
              <w:pStyle w:val="TableContents"/>
              <w:bidi w:val="0"/>
              <w:spacing w:before="0" w:after="283"/>
              <w:jc w:val="both"/>
              <w:rPr>
                <w:sz w:val="20"/>
              </w:rPr>
            </w:pPr>
            <w:r>
              <w:rPr>
                <w:sz w:val="20"/>
              </w:rPr>
              <w:t>The securities to be sold pursuant to this prospectus consist of up to 574,713 (subject to adjustments) shares of Common Stock, consisting of 191,571 shares of Common Stock, 191,571 shares of Common Stock issuable upon exercise of Series A Warrants and 191,571 shares of Common Stock issuable upon exercise of Series B Warrants, all of which are directly held by Lind Global Fund III LP (the “Lind”), and may be deemed to be indirectly beneficially owned by Jeff Easton. Lind Global Partners III LLC, the general partner of Lind Global Fund III LP, may be deemed to have sole voting and dispositive power with respect to the shares held by Lind Global Fund III LP. The address of Lind is c/o 444 Madison Ave, Floor 41, New York,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beneficially owned prior to this offering consist of shares of common stock issuable upon exercise of placement agent warrants which have been issued as compensation. 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business address of Augustus Trading LLC is  600 Lexington Avenue, 32nd Floor, New York, NY 10022.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10001" w:type="dxa"/>
            <w:tcBorders/>
            <w:vAlign w:val="center"/>
          </w:tcPr>
          <w:p>
            <w:pPr>
              <w:pStyle w:val="TableContents"/>
              <w:bidi w:val="0"/>
              <w:spacing w:before="0" w:after="283"/>
              <w:jc w:val="both"/>
              <w:rPr/>
            </w:pPr>
            <w:r>
              <w:rPr/>
              <w:t>The number of shares beneficially owned prior to this offering consist of shares of common stock issuable upon exercise of placement agent warrants which have been issued as compensation.  1,455 of the securities held prior to the offering are held by Wilson Drive Holdings LLC and 2,351 of the securities are held by Craig Schwabe 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 Mr. Schwabe has not held any position or office or has had any other material relationship with the Company (or its predecessors or affiliates) during the past three years. The business address of Wilson Drive Holdings LLC is 600 Lexington Avenue, 32nd Floor, New York, NY 10022.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selling stockholders is affiliated with H.C. Wainwright &amp; Co., LLC, a registered broker-dealer with a business address of c/o H.C. Wainwright &amp; Co., 430 Park Ave, 3rd Floor, New York, NY 10022. The number of shares beneficially owned prior to this offering consist of shares of common stock issuable upon exercise of placement agent warrants which have been issued as compensation. Each of the selling stockholder has the voting and dispositive power over the securities held, acquired the placement agent warrants in the ordinary course of business and, at the time the placement agent warrants were acquired, the selling stockholder had no agreement or understanding, directly or indirectly, with any person to distribute such securities.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Registered Securities on behalf of the selling stockholders. The selling stockholders and any of their respective transferees, pledgees, assignees, donees, distributees, or other successors-in-interest in the Registered Securities received after the date of this prospectus from the selling stockholders as a partnership distribution, gift, pledge, or other transfer, may, from time to time, sell, transfer, or otherwise dispose of any or all of the shares of our Common Stock covered hereby on the Nasdaq Capital Market or any other stock exchange, market or trading facility on which the Common Stock is traded or in private transactions. These dispositions may be at fixed prices, at prevailing market prices at the time of the sale, at varying prices determined at the time of sale, or at negotiated prices. The selling stockholders may use any one or more of the following methods when selling Common Stock:</w:t>
      </w:r>
    </w:p>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sz w:val="20"/>
              </w:rPr>
            </w:pPr>
            <w:r>
              <w:rPr>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block trades in which the broker-dealer will attempt to sell the Common Stock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sz w:val="20"/>
              </w:rPr>
            </w:pPr>
            <w:r>
              <w:rPr>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sz w:val="20"/>
              </w:rPr>
            </w:pPr>
            <w:r>
              <w:rPr>
                <w:sz w:val="20"/>
              </w:rPr>
              <w:t>exchange distributions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sz w:val="20"/>
              </w:rPr>
            </w:pPr>
            <w:r>
              <w:rPr>
                <w:sz w:val="20"/>
              </w:rPr>
              <w:t>settlement of short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transactions through broker-dealers that agree with the selling stockholders to sell a specified number of such Common Stock at a stipulated price per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sz w:val="20"/>
              </w:rPr>
            </w:pPr>
            <w:r>
              <w:rPr>
                <w:sz w:val="20"/>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Registered Securities owned by them and, if they default in the performance of their secured obligations, the pledgees or secured parties may offer and sell the Registered Securities,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Registered Securities in other circumstances, in which case the transferees,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Registered Securities, the selling stockholders may enter into hedging transactions with broker-dealers or other financial institutions, which may in turn engage in short sales of the Registered Securities in the course of hedging the positions they assume. To the extent permitted by applicable securities laws, the selling stockholders may also sell the Registered Securities short and deliver these securities to close out their short positions, or loan or pledge the Registered Securities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the Registered Securities offered by this prospectus, which Registered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Registered Securities offered by them will be the purchase price of the Registered Securities less discounts or commissions, if any. Each of the selling stockholders reserves the right to accept and, together with their agents from time to time, to reject, in whole or in part, any proposed purchase of the Registered Securities to be made directly or through agents. We will not receive any of the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Registered Securities in open market transactions in reliance upon Rule 144 under the Securities Act, provided that they meet the criteria and conform to the requirements of that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Registered Securities or interests therein may be “underwriters” within the meaning of Section 2(11) of the Securities Act. Any discounts, commissions, concessions or profit they earn on any resale of the Registered Securities covered by this prospectus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Registered Securities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Registered Securities may be sold in these jurisdictions only through registered or licensed brokers or dealers. In addition, in some states the Registered Securities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some of the terms of our capital stock. Because it is only a summary, it does not contain all the information that may be important to you and is subject to and qualified in its entirety by reference to our certificate of incorporation, as corrected (“Certificate of Incorporation”) and amended and restated bylaws (“Bylaws”), which are filed as exhibits to our most recent Annual Report on Form 10-K and are incorporated by reference herein. We encourage you to read our Certificate of Incorporation and Bylaws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13, 2026, our authorized capital stock presently consists of 150,000,000 shares of Common Stock, par value $0.00001 per share, and 1,000,000 shares of “blank check” preferred stock, par value $0.00001 per share, of which 68,080 shares of preferred stock have been designated as “Series A Non-Voting Convertible Preferred Stock”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Stock are entitled to the following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share of our Common Stock entitles its holder to one vote per share on all matters to be voted or consented upon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limitations under Delaware law, holders of our Common Stock are entitled to receive ratably such dividends or other distributions, if any, as may be declared by our Board out of funds legally available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Rights</w:t>
      </w:r>
      <w:r>
        <w:rPr>
          <w:rFonts w:ascii="Times New Roman;Times;Serif" w:hAnsi="Times New Roman;Times;Serif"/>
          <w:b w:val="false"/>
          <w:i w:val="false"/>
          <w:caps w:val="false"/>
          <w:smallCaps w:val="false"/>
          <w:sz w:val="20"/>
        </w:rPr>
        <w:t>. In the event of liquidation, dissolution or winding up of our business, the holders of our Common Stock are entitled to share ratably in the assets available for distribution after the payment of all of our debts and other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Matters</w:t>
      </w:r>
      <w:r>
        <w:rPr>
          <w:rFonts w:ascii="Times New Roman;Times;Serif" w:hAnsi="Times New Roman;Times;Serif"/>
          <w:b w:val="false"/>
          <w:i w:val="false"/>
          <w:caps w:val="false"/>
          <w:smallCaps w:val="false"/>
          <w:sz w:val="20"/>
        </w:rPr>
        <w:t>. The holders of our Common Stock have no subscription, redemption or conversion privileges; in addition, such Common Stock does not entitle its holders to pre-emptive rights. All of the outstanding shares of our Common Stock are fully paid and non-assessable.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1,000,000 shares of “blank check” preferred stock, par value $0.0001 per share. We have currently authorized 80,965 shares of Series A Preferred Stock with the following terms and rights: (i) 6% dividend, (ii) non-voting; (iii) not redeemable; and (iv) convertible into shares of Common Stock, solely at the Company’s discretion, determined by (A) multiplying the number of shares of Series A Preferred Stock to be converted by $100, (B) adding to the result all accrued and accumulated and unpaid dividends on such shares to be converted, if any, and then (C) dividing the result by a price equal to the lower of (1) $100, (2) the price paid for the shares of Common Stock in the IPO and (3) the 10-day volume weighted average share price immediately preceding our election to convert the shares of Series A Preferred Stock; provided that the conversion of the shares of Series A Preferred Stock does not result in the holder’s ownership of Common Stock exceeding 19.9%. As of August 13, 2026, there a</w:t>
      </w:r>
      <w:r>
        <w:rPr>
          <w:rFonts w:ascii="Times New Roman;Times;Serif" w:hAnsi="Times New Roman;Times;Serif"/>
          <w:b w:val="false"/>
          <w:i w:val="false"/>
          <w:caps w:val="false"/>
          <w:smallCaps w:val="false"/>
          <w:sz w:val="20"/>
          <w:shd w:fill="FFFFFF" w:val="clear"/>
        </w:rPr>
        <w:t>re 68,080</w:t>
      </w:r>
      <w:r>
        <w:rPr>
          <w:rFonts w:ascii="Times New Roman;Times;Serif" w:hAnsi="Times New Roman;Times;Serif"/>
          <w:b w:val="false"/>
          <w:i w:val="false"/>
          <w:caps w:val="false"/>
          <w:smallCaps w:val="false"/>
          <w:sz w:val="20"/>
        </w:rPr>
        <w:t xml:space="preserve"> shares of Series A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provide for the issue of any or all of the unissued and undesignated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law, without stockholder approval. Our Board is able to determine, with respect to any series of preferred stock, the terms and rights of that series, including:</w:t>
      </w:r>
    </w:p>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the designation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the number of shares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sz w:val="20"/>
              </w:rPr>
            </w:pPr>
            <w:r>
              <w:rPr>
                <w:sz w:val="20"/>
              </w:rPr>
              <w:t>whether dividends, if any, will be cumulative or non-cumulative and the dividend rate, if any,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sz w:val="20"/>
              </w:rPr>
            </w:pPr>
            <w:r>
              <w:rPr>
                <w:sz w:val="20"/>
              </w:rPr>
              <w:t>the dates at which dividends, if any,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sz w:val="20"/>
              </w:rPr>
            </w:pPr>
            <w:r>
              <w:rPr>
                <w:sz w:val="20"/>
              </w:rPr>
              <w:t>the redemption rights and price or prices, if any, for shares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sz w:val="20"/>
              </w:rPr>
            </w:pPr>
            <w:r>
              <w:rPr>
                <w:sz w:val="20"/>
              </w:rPr>
              <w:t>the terms and amounts of any sinking fund provided for the purchase or redemption of shares of the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amounts payable on shares of the series in the event of any voluntary or involuntary liquidation, dissolution or winding-up of the affairs of our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and provisions for any adjustments to such prices or rates, the date or dates as of which the shares will be convertible, and all other terms and conditions upon which the conversion may be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ranking of such series with respect to dividends and amounts payable on our liquidation, dissolution or winding-up, which may include provisions that such series will rank senior to our Common Stock with respect to dividends and those distributions;</w:t>
            </w:r>
          </w:p>
        </w:tc>
      </w:tr>
    </w:tbl>
    <w:p>
      <w:pPr>
        <w:pStyle w:val="TextBody"/>
        <w:bidi w:val="0"/>
        <w:spacing w:before="0" w:after="0"/>
        <w:ind w:left="0" w:right="0" w:hanging="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sz w:val="20"/>
              </w:rPr>
            </w:pPr>
            <w:r>
              <w:rPr>
                <w:sz w:val="20"/>
              </w:rPr>
              <w:t>restrictions on the issuance of shares of the same series or any other class or series; or</w:t>
            </w:r>
          </w:p>
        </w:tc>
      </w:tr>
    </w:tbl>
    <w:p>
      <w:pPr>
        <w:pStyle w:val="TextBody"/>
        <w:bidi w:val="0"/>
        <w:spacing w:before="0" w:after="0"/>
        <w:ind w:left="0" w:right="0" w:hanging="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voting rights, if any, of the holders of the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could adversely affect, among other things, the voting power of holders of Common Stock and the likelihood that stockholders will receive dividend payments and payments upon our liquidation, dissolution or winding up. The issuance of preferred stock could also have the effect of delaying, deferring or preventing a change in control of 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sz w:val="20"/>
              </w:rPr>
            </w:pPr>
            <w:r>
              <w:rPr>
                <w:sz w:val="20"/>
              </w:rPr>
              <w:t>a stockholder who owns 15% or more of our outstanding voting stock (otherwise known as an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an affiliate of an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 associate of an interested stockholder, for three years following the date that the stockholder became an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Board approves the transaction that made the stockholder an “interested stockholder,” prior to the date of the transaction;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Potential Effects of Authorized but Unissued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and preferred stock are available for future issuance without stockholder approval. We may utilize these additional shares for a variety of corporate purposes, including future public offerings to raise additional capital, to facilitate corporate acquisitions, payment as a dividend on the capital stock or as equity compensation to our service providers under our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unissued and unreserved Common Stock and preferred stock may enable our Board to issue shares to persons friendly to current management or to issue preferred stock with terms that could render more difficult or discourage a third-party attempt to obtain control by means of a merger, tender offer, proxy contest or otherwise, thereby protecting the continuity of our management. In addition, our Board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Certificate of Incorporation. The purpose of authorizing the Board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if we issue additional shares of our authorized, but unissued, Common Stock, these issuances will dilute the voting power and distribution rights of our existing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agent and registrar for our Common Stock will be Equity Stock Transfer, LLC (“Equity Stock Transfer”), located at 237 West 37th Street, Suite 602, New York, NY 10018. The phone number and facsimile number for Equity Stock Transfer are (212) 575-5757 and (347) 584-3644, respectively. Additional information about Equity Stock Transfer can be found on its website at </w:t>
      </w:r>
      <w:r>
        <w:rPr>
          <w:rFonts w:ascii="Times New Roman;Times;Serif" w:hAnsi="Times New Roman;Times;Serif"/>
          <w:b w:val="false"/>
          <w:i/>
          <w:caps w:val="false"/>
          <w:smallCaps w:val="false"/>
          <w:sz w:val="20"/>
        </w:rPr>
        <w:t>www.equitystock.com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Tradeable Warrants have been approved for listing on The Nasdaq Capital Market under the symbols “SXTP” and “SXTPW,”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in connection with the Private Placement, we issued (i) Pre-Funded Warrants to purchase up to an aggregate of 383,142 shares at an exercise price of $0.001 per share; (ii) Series A Common Stock Warrants to purchase up to an aggregate of 574,713 shares of Common Stock at an exercise price of $1.74 per share; and (iii) Series B Common Stock Warrants to purchase up to an aggregate of 574,713 shares of Common Stock at an exercise price of $1.74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Pre-Funded Warrants are exercisable immediately upon issuance and expire when exercised in full at an exercise price of $0.001 per share. </w:t>
      </w:r>
      <w:r>
        <w:rPr>
          <w:rFonts w:ascii="Times New Roman;Times;Serif" w:hAnsi="Times New Roman;Times;Serif"/>
          <w:b w:val="false"/>
          <w:i w:val="false"/>
          <w:caps w:val="false"/>
          <w:smallCaps w:val="false"/>
          <w:sz w:val="20"/>
          <w:shd w:fill="FFFFFF" w:val="clear"/>
        </w:rPr>
        <w:t>The Series A Warrants will expire five (5) years from the effective date of the registration statement covering the resale of the shares issuable upon exercise of thereof (the “Effective Date”) and the Series B Warrants will expire twenty-four (24) months from the Effective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and the Series A Common Stock Warrants and Series B Common Stock Warrants provide that a holder of Pre-Funded Warrants and the Series A Common Stock Warrants and Series B Common Stock Warrants, as applicable, will not have the right to exercise any portion of its Pre-Funded Warrants and the Series A Common Stock Warrants and Series B Common Stock Warrants if such holder, together with its affiliates, would beneficially own in excess of 4.99% or 9.99% of the number of shares of the Company’s Common Stock outstanding immediately after giving effect to such exercise (the “Beneficial Ownership Limitation”); provided, however, that each holder may increase or decrease the Beneficial Ownership Limitation by giving 61 days’ notice to the Company, but not to any percentage in excess of 9.99%. If there is no effective registration statement at the time of exercise, the Pre-Funded Warrants and the Series A Common Stock Warrants and Series B Common Stock Warrants may be exercised on a cashless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issued to H.C. Wainwright or its designees warrants the Placement Agent Warrants to purchase up to an aggregate of 43,103 shares of Common Stock at an exercise price equal to $2.175 per share. The Placement Agent Warrants are exercisable beginning on the date of issuance for a period of five (5) years.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We currently intend to retain earnings, if any, for use in our business. We do not anticipate paying dividends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Sichenzia Ross Ference Carmel LLP, located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60 Degrees Pharmaceuticals, Inc. as of December 31, 2025 and 2024 and for the years then ended incorporated in this registration statement and prospectus by reference to our Annual Report on Form 10-K, for the year ended December 31, 2025, have been audited by RBSM LLP, an independent registered public accounting firm, as stated in their report thereon, incorporated herein by reference, and have been incorporated in this registration statement and prospectus in reliance upon such report and upon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the registration statement on Form S-3 that we filed with the Commission under the Securities Act and does not contain all of the information set forth in the registration statement. Whenever a reference is made in this prospectus to any of our contracts, agreements or other documents, the reference may not be complete and you should refer to the exhibits that are part of the registration statement or the exhibits to the reports or other document incorporated into this prospectus for a copy of such contract agreement or other document. Because we are subject to the information and reporting requirements under the Exchange Act, we file annual, quarterly and current reports, proxy statements and other information with the Commission. Our filings with the Commission are available to the public over the Commission’s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Our Annual Report on Form 10-K, Quarterly Reports on Form 10-Q and Current Reports on Form 8-K, including any amendments to those reports, and other information that we file with or furnish to the Commission pursuant to Section 13(a) or 15(d) of the Exchange Act can also be accessed free of charge on our website. You may also read and copy any document we file with the SEC at its public reference facility at 100 F Street, N.E., Washington, D.C., 20549, on official business days during the hours of 10 a.m. to 3 p.m. You may also obtain copies of the documents at prescribed rates by writing to the Public Reference Section of the SEC at 100 F Street, N.E., Washington, D.C., 20549. Please call the SEC at 1-800-SEC-0330 for further information on the operation of the public reference facility. In addition, you can find more information about us on our website at </w:t>
      </w:r>
      <w:r>
        <w:rPr>
          <w:rFonts w:ascii="Times New Roman;Times;Serif" w:hAnsi="Times New Roman;Times;Serif"/>
          <w:b w:val="false"/>
          <w:i/>
          <w:caps w:val="false"/>
          <w:smallCaps w:val="false"/>
          <w:sz w:val="20"/>
        </w:rPr>
        <w:t>https://60degreespharma.com</w:t>
      </w:r>
      <w:r>
        <w:rPr>
          <w:rFonts w:ascii="Times New Roman;Times;Serif" w:hAnsi="Times New Roman;Times;Serif"/>
          <w:b w:val="false"/>
          <w:i w:val="false"/>
          <w:caps w:val="false"/>
          <w:smallCaps w:val="false"/>
          <w:sz w:val="20"/>
        </w:rPr>
        <w:t>. Information contained on or accessible through our website is not a part of this prospectus and is not incorporated by reference herein,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into this prospectus is deemed to be part of this prospectus, and any information filed with the SEC after the date of this prospectus will automatically be deemed to update and supersede information contained in this prospectus and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with the SEC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Registrant’s Annual Report on </w:t>
            </w:r>
            <w:hyperlink r:id="rId4">
              <w:r>
                <w:rPr>
                  <w:rStyle w:val="InternetLink"/>
                  <w:sz w:val="20"/>
                </w:rPr>
                <w:t>Form 10-K</w:t>
              </w:r>
            </w:hyperlink>
            <w:r>
              <w:rPr/>
              <w:t xml:space="preserve"> </w:t>
            </w:r>
            <w:r>
              <w:rPr>
                <w:sz w:val="20"/>
              </w:rPr>
              <w:t>for the fiscal year ended December 31, 2025, filed with the SEC on March 30,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Registrant’s Quarterly Report on </w:t>
            </w:r>
            <w:hyperlink r:id="rId5">
              <w:r>
                <w:rPr>
                  <w:rStyle w:val="InternetLink"/>
                  <w:sz w:val="20"/>
                </w:rPr>
                <w:t>Form 10-Q</w:t>
              </w:r>
            </w:hyperlink>
            <w:r>
              <w:rPr/>
              <w:t xml:space="preserve"> </w:t>
            </w:r>
            <w:r>
              <w:rPr>
                <w:sz w:val="20"/>
              </w:rPr>
              <w:t>for the fiscal quarter ended June 30, 2026, filed with the SEC on August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Registrant’s Preliminary </w:t>
            </w:r>
            <w:hyperlink r:id="rId6">
              <w:r>
                <w:rPr>
                  <w:rStyle w:val="InternetLink"/>
                  <w:sz w:val="20"/>
                </w:rPr>
                <w:t>Schedule 14A</w:t>
              </w:r>
            </w:hyperlink>
            <w:r>
              <w:rPr>
                <w:sz w:val="20"/>
              </w:rPr>
              <w:t xml:space="preserve">, filed with the SEC on June 8, 2026, and the Registrant’s Definitive </w:t>
            </w:r>
            <w:hyperlink r:id="rId7">
              <w:r>
                <w:rPr>
                  <w:rStyle w:val="InternetLink"/>
                  <w:sz w:val="20"/>
                </w:rPr>
                <w:t>Schedule 14A</w:t>
              </w:r>
            </w:hyperlink>
            <w:r>
              <w:rPr>
                <w:sz w:val="20"/>
              </w:rPr>
              <w:t>, filed with the SEC on July 2,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Registrant’s Current Reports on Form 8-K filed with the SEC on </w:t>
            </w:r>
            <w:hyperlink r:id="rId8">
              <w:r>
                <w:rPr>
                  <w:rStyle w:val="InternetLink"/>
                  <w:sz w:val="20"/>
                </w:rPr>
                <w:t>January 8, 2026</w:t>
              </w:r>
            </w:hyperlink>
            <w:r>
              <w:rPr>
                <w:sz w:val="20"/>
              </w:rPr>
              <w:t xml:space="preserve">, </w:t>
            </w:r>
            <w:hyperlink r:id="rId9">
              <w:r>
                <w:rPr>
                  <w:rStyle w:val="InternetLink"/>
                  <w:sz w:val="20"/>
                </w:rPr>
                <w:t>January 21, 2026</w:t>
              </w:r>
            </w:hyperlink>
            <w:r>
              <w:rPr>
                <w:sz w:val="20"/>
              </w:rPr>
              <w:t xml:space="preserve">, </w:t>
            </w:r>
            <w:hyperlink r:id="rId10">
              <w:r>
                <w:rPr>
                  <w:rStyle w:val="InternetLink"/>
                  <w:sz w:val="20"/>
                </w:rPr>
                <w:t>January 23, 2026</w:t>
              </w:r>
            </w:hyperlink>
            <w:r>
              <w:rPr>
                <w:sz w:val="20"/>
              </w:rPr>
              <w:t xml:space="preserve">, </w:t>
            </w:r>
            <w:hyperlink r:id="rId11">
              <w:r>
                <w:rPr>
                  <w:rStyle w:val="InternetLink"/>
                  <w:sz w:val="20"/>
                </w:rPr>
                <w:t>February 12, 2026</w:t>
              </w:r>
            </w:hyperlink>
            <w:r>
              <w:rPr>
                <w:sz w:val="20"/>
              </w:rPr>
              <w:t xml:space="preserve">, </w:t>
            </w:r>
            <w:hyperlink r:id="rId12">
              <w:r>
                <w:rPr>
                  <w:rStyle w:val="InternetLink"/>
                  <w:sz w:val="20"/>
                </w:rPr>
                <w:t>March 12, 2026</w:t>
              </w:r>
            </w:hyperlink>
            <w:r>
              <w:rPr>
                <w:sz w:val="20"/>
              </w:rPr>
              <w:t xml:space="preserve">, </w:t>
            </w:r>
            <w:hyperlink r:id="rId13">
              <w:r>
                <w:rPr>
                  <w:rStyle w:val="InternetLink"/>
                  <w:sz w:val="20"/>
                </w:rPr>
                <w:t>March 13, 2026</w:t>
              </w:r>
            </w:hyperlink>
            <w:r>
              <w:rPr>
                <w:sz w:val="20"/>
              </w:rPr>
              <w:t xml:space="preserve">, </w:t>
            </w:r>
            <w:hyperlink r:id="rId14">
              <w:r>
                <w:rPr>
                  <w:rStyle w:val="InternetLink"/>
                  <w:sz w:val="20"/>
                </w:rPr>
                <w:t>March 20, 2026</w:t>
              </w:r>
            </w:hyperlink>
            <w:r>
              <w:rPr>
                <w:sz w:val="20"/>
              </w:rPr>
              <w:t xml:space="preserve">, </w:t>
            </w:r>
            <w:hyperlink r:id="rId15">
              <w:r>
                <w:rPr>
                  <w:rStyle w:val="InternetLink"/>
                  <w:sz w:val="20"/>
                </w:rPr>
                <w:t>May 18 2026</w:t>
              </w:r>
            </w:hyperlink>
            <w:r>
              <w:rPr>
                <w:sz w:val="20"/>
              </w:rPr>
              <w:t xml:space="preserve">, </w:t>
            </w:r>
            <w:hyperlink r:id="rId16">
              <w:r>
                <w:rPr>
                  <w:rStyle w:val="InternetLink"/>
                  <w:sz w:val="20"/>
                </w:rPr>
                <w:t>June 3, 2026</w:t>
              </w:r>
            </w:hyperlink>
            <w:r>
              <w:rPr>
                <w:sz w:val="20"/>
              </w:rPr>
              <w:t xml:space="preserve">, </w:t>
            </w:r>
            <w:hyperlink r:id="rId17">
              <w:r>
                <w:rPr>
                  <w:rStyle w:val="InternetLink"/>
                  <w:sz w:val="20"/>
                </w:rPr>
                <w:t>July 9, 2026</w:t>
              </w:r>
            </w:hyperlink>
            <w:r>
              <w:rPr>
                <w:sz w:val="20"/>
              </w:rPr>
              <w:t xml:space="preserve">, </w:t>
            </w:r>
            <w:hyperlink r:id="rId18">
              <w:r>
                <w:rPr>
                  <w:rStyle w:val="InternetLink"/>
                  <w:sz w:val="20"/>
                </w:rPr>
                <w:t>July 20, 2026</w:t>
              </w:r>
            </w:hyperlink>
            <w:r>
              <w:rPr>
                <w:sz w:val="20"/>
              </w:rPr>
              <w:t xml:space="preserve">, </w:t>
            </w:r>
            <w:hyperlink r:id="rId19">
              <w:r>
                <w:rPr>
                  <w:rStyle w:val="InternetLink"/>
                  <w:sz w:val="20"/>
                </w:rPr>
                <w:t>August 4, 2026</w:t>
              </w:r>
            </w:hyperlink>
            <w:r>
              <w:rPr>
                <w:sz w:val="20"/>
              </w:rPr>
              <w:t xml:space="preserve"> and </w:t>
            </w:r>
            <w:hyperlink r:id="rId20">
              <w:r>
                <w:rPr>
                  <w:rStyle w:val="InternetLink"/>
                  <w:sz w:val="20"/>
                </w:rPr>
                <w:t>August 6, 2026</w:t>
              </w:r>
            </w:hyperlink>
            <w:r>
              <w:rPr>
                <w:sz w:val="20"/>
              </w:rPr>
              <w:t xml:space="preserve"> ;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description of the Registrant’s Common Stock, which is contained in a registration statement on </w:t>
            </w:r>
            <w:hyperlink r:id="rId21">
              <w:r>
                <w:rPr>
                  <w:rStyle w:val="InternetLink"/>
                  <w:sz w:val="20"/>
                </w:rPr>
                <w:t>Form 8-A12B</w:t>
              </w:r>
            </w:hyperlink>
            <w:r>
              <w:rPr/>
              <w:t xml:space="preserve"> </w:t>
            </w:r>
            <w:r>
              <w:rPr>
                <w:sz w:val="20"/>
              </w:rPr>
              <w:t>filed with the SEC on June 27, 2023, under the Exchange Act,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Securities and Exchange Commission under the terms of Sections 13(a), 13(c), 14 or 15(d) of the Exchange Act that are made after the date of the initial registration statement but prior to effectiveness of the registration statement and after the date of this prospectus but prior to the termination of the offering of the securities covered by this prospectus. We are not, however, incorporating, in each case, any documents or information that we are deemed to furnish and not file in accordance with Securities and Exchange Commission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You should assume that the information appearing in this prospectus is accurate only as of the date of this prospectus.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will be deemed to be modified or superseded for the purposes of this prospectus to the extent that a statement contained herein, or in any other subsequently filed document which also is or is deemed to be incorporated by reference herein, modifies or supersedes that statement. The modifying or superseding statement need not state it has modified or superseded a prior statement or include any other information set forth in the document that it modifies or supersedes. The making of a modifying or superseding statement is not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and we will provide you with, a copy of these filings, at no cost, by calling us at (202) 327-5422 or by writing to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br/>
        <w:t>Washington, D.C. 20036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Attn: Geoffrey Dow, 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495675" cy="1390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3495675" cy="1390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60 Degrees Pharmaceuticals,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1,769,593 Shares of Common Stock,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certain Pre-Funded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and Placement Agent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PART II</w:t>
        <w:b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4730"/>
        <w:gridCol w:w="60"/>
        <w:gridCol w:w="125"/>
        <w:gridCol w:w="800"/>
        <w:gridCol w:w="125"/>
      </w:tblGrid>
      <w:tr>
        <w:trPr/>
        <w:tc>
          <w:tcPr>
            <w:tcW w:w="47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 to</w:t>
              <w:br/>
              <w:t>Be Paid</w:t>
            </w:r>
          </w:p>
        </w:tc>
        <w:tc>
          <w:tcPr>
            <w:tcW w:w="12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sz w:val="20"/>
              </w:rPr>
            </w:pPr>
            <w:r>
              <w:rPr>
                <w:sz w:val="20"/>
              </w:rPr>
              <w:t>U.S. 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00" w:type="dxa"/>
            <w:tcBorders/>
            <w:shd w:fill="CCEEFF" w:val="clear"/>
            <w:vAlign w:val="center"/>
          </w:tcPr>
          <w:p>
            <w:pPr>
              <w:pStyle w:val="TableContents"/>
              <w:bidi w:val="0"/>
              <w:spacing w:before="0" w:after="283"/>
              <w:jc w:val="right"/>
              <w:rPr/>
            </w:pPr>
            <w:r>
              <w:rPr/>
              <w:t>284</w:t>
            </w:r>
          </w:p>
        </w:tc>
        <w:tc>
          <w:tcPr>
            <w:tcW w:w="12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125,000</w:t>
            </w:r>
          </w:p>
        </w:tc>
        <w:tc>
          <w:tcPr>
            <w:tcW w:w="125" w:type="dxa"/>
            <w:tcBorders/>
            <w:shd w:fill="FFFFFF" w:val="clear"/>
            <w:vAlign w:val="center"/>
          </w:tcPr>
          <w:p>
            <w:pPr>
              <w:pStyle w:val="TableContents"/>
              <w:bidi w:val="0"/>
              <w:spacing w:before="0" w:after="283"/>
              <w:jc w:val="left"/>
              <w:rPr>
                <w:position w:val="7"/>
                <w:sz w:val="16"/>
                <w:sz w:val="20"/>
              </w:rPr>
            </w:pPr>
            <w:r>
              <w:rPr>
                <w:position w:val="7"/>
                <w:sz w:val="16"/>
                <w:sz w:val="20"/>
              </w:rPr>
              <w:t>*</w:t>
            </w:r>
          </w:p>
        </w:tc>
      </w:tr>
      <w:tr>
        <w:trPr/>
        <w:tc>
          <w:tcPr>
            <w:tcW w:w="4730" w:type="dxa"/>
            <w:tcBorders/>
            <w:shd w:fill="CCEEFF" w:val="clear"/>
            <w:vAlign w:val="center"/>
          </w:tcPr>
          <w:p>
            <w:pPr>
              <w:pStyle w:val="TableContents"/>
              <w:bidi w:val="0"/>
              <w:spacing w:before="0" w:after="283"/>
              <w:jc w:val="both"/>
              <w:rPr>
                <w:sz w:val="20"/>
              </w:rPr>
            </w:pPr>
            <w:r>
              <w:rPr>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5,000</w:t>
            </w:r>
          </w:p>
        </w:tc>
        <w:tc>
          <w:tcPr>
            <w:tcW w:w="125" w:type="dxa"/>
            <w:tcBorders/>
            <w:shd w:fill="CCEEFF" w:val="clear"/>
            <w:vAlign w:val="center"/>
          </w:tcPr>
          <w:p>
            <w:pPr>
              <w:pStyle w:val="TableContents"/>
              <w:bidi w:val="0"/>
              <w:spacing w:before="0" w:after="283"/>
              <w:jc w:val="left"/>
              <w:rPr>
                <w:position w:val="7"/>
                <w:sz w:val="16"/>
                <w:sz w:val="20"/>
              </w:rPr>
            </w:pPr>
            <w:r>
              <w:rPr>
                <w:position w:val="7"/>
                <w:sz w:val="16"/>
                <w:sz w:val="20"/>
              </w:rPr>
              <w:t>*</w:t>
            </w:r>
          </w:p>
        </w:tc>
      </w:tr>
      <w:tr>
        <w:trPr/>
        <w:tc>
          <w:tcPr>
            <w:tcW w:w="4730" w:type="dxa"/>
            <w:tcBorders/>
            <w:shd w:fill="FFFFFF" w:val="clear"/>
            <w:vAlign w:val="center"/>
          </w:tcPr>
          <w:p>
            <w:pPr>
              <w:pStyle w:val="TableContents"/>
              <w:bidi w:val="0"/>
              <w:spacing w:before="0" w:after="283"/>
              <w:jc w:val="both"/>
              <w:rPr>
                <w:sz w:val="20"/>
              </w:rPr>
            </w:pPr>
            <w:r>
              <w:rPr>
                <w:sz w:val="20"/>
              </w:rPr>
              <w:t>Miscellaneous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5,000</w:t>
            </w:r>
          </w:p>
        </w:tc>
        <w:tc>
          <w:tcPr>
            <w:tcW w:w="125" w:type="dxa"/>
            <w:tcBorders/>
            <w:shd w:fill="FFFFFF" w:val="clear"/>
            <w:vAlign w:val="center"/>
          </w:tcPr>
          <w:p>
            <w:pPr>
              <w:pStyle w:val="TableContents"/>
              <w:bidi w:val="0"/>
              <w:spacing w:before="0" w:after="283"/>
              <w:jc w:val="left"/>
              <w:rPr>
                <w:position w:val="7"/>
                <w:sz w:val="16"/>
                <w:sz w:val="20"/>
              </w:rPr>
            </w:pPr>
            <w:r>
              <w:rPr>
                <w:position w:val="7"/>
                <w:sz w:val="16"/>
                <w:sz w:val="20"/>
              </w:rPr>
              <w:t>*</w:t>
            </w:r>
          </w:p>
        </w:tc>
      </w:tr>
      <w:tr>
        <w:trPr/>
        <w:tc>
          <w:tcPr>
            <w:tcW w:w="4730" w:type="dxa"/>
            <w:tcBorders/>
            <w:shd w:fill="CCEEFF" w:val="clear"/>
            <w:vAlign w:val="center"/>
          </w:tcPr>
          <w:p>
            <w:pPr>
              <w:pStyle w:val="TableContents"/>
              <w:bidi w:val="0"/>
              <w:spacing w:before="0" w:after="283"/>
              <w:jc w:val="both"/>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0" w:type="dxa"/>
            <w:tcBorders>
              <w:bottom w:val="double" w:sz="12" w:space="0" w:color="000000"/>
            </w:tcBorders>
            <w:shd w:fill="CCEEFF" w:val="clear"/>
            <w:tcMar>
              <w:bottom w:w="28" w:type="dxa"/>
            </w:tcMar>
            <w:vAlign w:val="center"/>
          </w:tcPr>
          <w:p>
            <w:pPr>
              <w:pStyle w:val="TableContents"/>
              <w:bidi w:val="0"/>
              <w:spacing w:before="0" w:after="283"/>
              <w:jc w:val="right"/>
              <w:rPr/>
            </w:pPr>
            <w:r>
              <w:rPr/>
              <w:t>135,284</w:t>
            </w:r>
          </w:p>
        </w:tc>
        <w:tc>
          <w:tcPr>
            <w:tcW w:w="125" w:type="dxa"/>
            <w:tcBorders/>
            <w:shd w:fill="CCEEFF" w:val="clear"/>
            <w:vAlign w:val="center"/>
          </w:tcPr>
          <w:p>
            <w:pPr>
              <w:pStyle w:val="TableContents"/>
              <w:bidi w:val="0"/>
              <w:spacing w:before="0" w:after="283"/>
              <w:jc w:val="left"/>
              <w:rPr>
                <w:position w:val="7"/>
                <w:sz w:val="16"/>
                <w:sz w:val="20"/>
              </w:rPr>
            </w:pPr>
            <w:r>
              <w:rPr>
                <w:position w:val="7"/>
                <w:sz w:val="16"/>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283"/>
              <w:jc w:val="left"/>
              <w:rPr>
                <w:sz w:val="20"/>
              </w:rPr>
            </w:pPr>
            <w:r>
              <w:rPr>
                <w:sz w:val="20"/>
              </w:rPr>
              <w:t>*</w:t>
            </w:r>
          </w:p>
        </w:tc>
        <w:tc>
          <w:tcPr>
            <w:tcW w:w="3740" w:type="dxa"/>
            <w:tcBorders/>
            <w:vAlign w:val="center"/>
          </w:tcPr>
          <w:p>
            <w:pPr>
              <w:pStyle w:val="TableContents"/>
              <w:bidi w:val="0"/>
              <w:spacing w:before="0" w:after="283"/>
              <w:jc w:val="both"/>
              <w:rPr>
                <w:sz w:val="20"/>
              </w:rPr>
            </w:pPr>
            <w:r>
              <w:rPr>
                <w:sz w:val="20"/>
              </w:rPr>
              <w:t>These fee and expense amounts are estimated.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(“DGCL”),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Amended and Restated Certificate of Incorporation eliminates the personal liability of directors to the Company or its stockholders for monetary damages for breach of fiduciary duty as a director with certain limited exceptions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grants to corporations the power to indemnify each officer and director against liabilities and expenses incurred by reason of the fact that he or she is or was an officer or director of the corporation if he or she acted in good faith and in a manner he or she reasonably believed to be in or not opposed to the best interests of the corporation and, with respect to any criminal action or proceeding, had no reasonable cause to believe his or her conduct was unlawful. The Company’s Amended and Restated Certificate of Incorporation and Bylaws provide for indemnification of each officer and director of the Company to the fullest extent permitted by the DGCL. Section 145 of the DGCL also empowers corporations to purchase and maintain insurance on behalf of any person who is or was an officer or director of the corporation against liability asserted against or incurred by him in any such capacity, whether or not the corporation would have the power to indemnify such officer or director against such liability under the provisions of Section 145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the Registration Statement are listed in the Exhibit Index attached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sz w:val="20"/>
              </w:rPr>
            </w:pPr>
            <w:r>
              <w:rPr>
                <w:sz w:val="20"/>
              </w:rPr>
              <w:t>(a)</w:t>
            </w:r>
          </w:p>
        </w:tc>
        <w:tc>
          <w:tcPr>
            <w:tcW w:w="3800"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sz w:val="20"/>
              </w:rPr>
            </w:pPr>
            <w:r>
              <w:rPr>
                <w:sz w:val="20"/>
              </w:rPr>
              <w:t>1.</w:t>
            </w:r>
          </w:p>
        </w:tc>
        <w:tc>
          <w:tcPr>
            <w:tcW w:w="10021"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(1)(i), (1)(ii) and (1)(iii)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2.</w:t>
            </w:r>
          </w:p>
        </w:tc>
        <w:tc>
          <w:tcPr>
            <w:tcW w:w="10049"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sz w:val="20"/>
              </w:rPr>
            </w:pPr>
            <w:r>
              <w:rPr>
                <w:sz w:val="20"/>
              </w:rPr>
              <w:t>3.</w:t>
            </w:r>
          </w:p>
        </w:tc>
        <w:tc>
          <w:tcPr>
            <w:tcW w:w="10032"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85"/>
        <w:gridCol w:w="7760"/>
      </w:tblGrid>
      <w:tr>
        <w:trPr/>
        <w:tc>
          <w:tcPr>
            <w:tcW w:w="185" w:type="dxa"/>
            <w:tcBorders/>
            <w:vAlign w:val="center"/>
          </w:tcPr>
          <w:p>
            <w:pPr>
              <w:pStyle w:val="TableContents"/>
              <w:bidi w:val="0"/>
              <w:spacing w:before="0" w:after="283"/>
              <w:jc w:val="left"/>
              <w:rPr>
                <w:sz w:val="20"/>
              </w:rPr>
            </w:pPr>
            <w:r>
              <w:rPr>
                <w:sz w:val="20"/>
              </w:rPr>
              <w:t>4.</w:t>
            </w:r>
          </w:p>
        </w:tc>
        <w:tc>
          <w:tcPr>
            <w:tcW w:w="7760"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sz w:val="20"/>
              </w:rPr>
            </w:pPr>
            <w:r>
              <w:rPr>
                <w:sz w:val="20"/>
              </w:rPr>
              <w:t>5.</w:t>
            </w:r>
          </w:p>
        </w:tc>
        <w:tc>
          <w:tcPr>
            <w:tcW w:w="10057"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sz w:val="20"/>
              </w:rPr>
            </w:pPr>
            <w:r>
              <w:rPr>
                <w:sz w:val="20"/>
              </w:rPr>
              <w:t>(b)</w:t>
            </w:r>
          </w:p>
        </w:tc>
        <w:tc>
          <w:tcPr>
            <w:tcW w:w="9995" w:type="dxa"/>
            <w:tcBorders/>
            <w:vAlign w:val="center"/>
          </w:tcPr>
          <w:p>
            <w:pPr>
              <w:pStyle w:val="TableContents"/>
              <w:bidi w:val="0"/>
              <w:spacing w:before="0" w:after="283"/>
              <w:jc w:val="both"/>
              <w:rPr>
                <w:sz w:val="20"/>
              </w:rPr>
            </w:pPr>
            <w:r>
              <w:rPr>
                <w:sz w:val="20"/>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benefits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sz w:val="20"/>
              </w:rPr>
            </w:pPr>
            <w:r>
              <w:rPr>
                <w:sz w:val="20"/>
              </w:rPr>
              <w:t>(c)</w:t>
            </w:r>
          </w:p>
        </w:tc>
        <w:tc>
          <w:tcPr>
            <w:tcW w:w="10009" w:type="dxa"/>
            <w:tcBorders/>
            <w:vAlign w:val="center"/>
          </w:tcPr>
          <w:p>
            <w:pPr>
              <w:pStyle w:val="TableContents"/>
              <w:bidi w:val="0"/>
              <w:spacing w:before="0" w:after="283"/>
              <w:jc w:val="both"/>
              <w:rPr>
                <w:sz w:val="20"/>
              </w:rPr>
            </w:pPr>
            <w:r>
              <w:rPr>
                <w:sz w:val="20"/>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sz w:val="20"/>
              </w:rPr>
            </w:pPr>
            <w:r>
              <w:rPr>
                <w:sz w:val="20"/>
              </w:rPr>
              <w:t>(d)</w:t>
            </w:r>
          </w:p>
        </w:tc>
        <w:tc>
          <w:tcPr>
            <w:tcW w:w="10000"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as amended,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Washington, District of Columbia, on August 14, 2026.</w:t>
      </w:r>
    </w:p>
    <w:p>
      <w:pPr>
        <w:pStyle w:val="TextBody"/>
        <w:bidi w:val="0"/>
        <w:spacing w:before="0" w:after="0"/>
        <w:ind w:left="0" w:right="0" w:hanging="0"/>
        <w:jc w:val="both"/>
        <w:rPr>
          <w:caps w:val="false"/>
          <w:smallCaps w:val="false"/>
        </w:rPr>
      </w:pPr>
      <w:r>
        <w:rPr>
          <w:caps w:val="false"/>
          <w:smallCaps w:val="false"/>
        </w:rPr>
        <w:t> </w:t>
      </w:r>
    </w:p>
    <w:tbl>
      <w:tblPr>
        <w:tblW w:w="3799" w:type="dxa"/>
        <w:jc w:val="left"/>
        <w:tblInd w:w="0" w:type="dxa"/>
        <w:tblLayout w:type="fixed"/>
        <w:tblCellMar>
          <w:top w:w="0" w:type="dxa"/>
          <w:left w:w="0" w:type="dxa"/>
          <w:bottom w:w="0" w:type="dxa"/>
          <w:right w:w="0" w:type="dxa"/>
        </w:tblCellMar>
      </w:tblPr>
      <w:tblGrid>
        <w:gridCol w:w="409"/>
        <w:gridCol w:w="3315"/>
        <w:gridCol w:w="75"/>
      </w:tblGrid>
      <w:tr>
        <w:trPr/>
        <w:tc>
          <w:tcPr>
            <w:tcW w:w="3724" w:type="dxa"/>
            <w:gridSpan w:val="2"/>
            <w:tcBorders/>
            <w:vAlign w:val="center"/>
          </w:tcPr>
          <w:p>
            <w:pPr>
              <w:pStyle w:val="TableContents"/>
              <w:bidi w:val="0"/>
              <w:spacing w:before="0" w:after="283"/>
              <w:jc w:val="left"/>
              <w:rPr>
                <w:b/>
                <w:sz w:val="20"/>
              </w:rPr>
            </w:pPr>
            <w:r>
              <w:rPr>
                <w:b/>
                <w:sz w:val="20"/>
              </w:rPr>
              <w:t>60 DEGREES PHARMACEUTICALS, INC.</w:t>
            </w:r>
          </w:p>
        </w:tc>
        <w:tc>
          <w:tcPr>
            <w:tcW w:w="75" w:type="dxa"/>
            <w:tcBorders/>
            <w:vAlign w:val="center"/>
          </w:tcPr>
          <w:p>
            <w:pPr>
              <w:pStyle w:val="TableContents"/>
              <w:bidi w:val="0"/>
              <w:spacing w:before="0" w:after="283"/>
              <w:jc w:val="left"/>
              <w:rPr/>
            </w:pPr>
            <w:r>
              <w:rPr/>
              <w:t> </w:t>
            </w:r>
          </w:p>
        </w:tc>
      </w:tr>
      <w:tr>
        <w:trPr/>
        <w:tc>
          <w:tcPr>
            <w:tcW w:w="37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9" w:type="dxa"/>
            <w:tcBorders/>
            <w:vAlign w:val="center"/>
          </w:tcPr>
          <w:p>
            <w:pPr>
              <w:pStyle w:val="TableContents"/>
              <w:bidi w:val="0"/>
              <w:spacing w:before="0" w:after="283"/>
              <w:jc w:val="both"/>
              <w:rPr>
                <w:sz w:val="20"/>
              </w:rPr>
            </w:pPr>
            <w:r>
              <w:rPr>
                <w:sz w:val="20"/>
              </w:rPr>
              <w:t xml:space="preserve">By: </w:t>
            </w:r>
          </w:p>
        </w:tc>
        <w:tc>
          <w:tcPr>
            <w:tcW w:w="3315"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Geoffrey Dow</w:t>
            </w:r>
          </w:p>
        </w:tc>
        <w:tc>
          <w:tcPr>
            <w:tcW w:w="75" w:type="dxa"/>
            <w:tcBorders/>
            <w:vAlign w:val="center"/>
          </w:tcPr>
          <w:p>
            <w:pPr>
              <w:pStyle w:val="TableContents"/>
              <w:bidi w:val="0"/>
              <w:spacing w:before="0" w:after="283"/>
              <w:jc w:val="left"/>
              <w:rPr/>
            </w:pPr>
            <w:r>
              <w:rPr/>
              <w:t> </w:t>
            </w:r>
          </w:p>
        </w:tc>
      </w:tr>
      <w:tr>
        <w:trPr/>
        <w:tc>
          <w:tcPr>
            <w:tcW w:w="409" w:type="dxa"/>
            <w:tcBorders/>
            <w:vAlign w:val="center"/>
          </w:tcPr>
          <w:p>
            <w:pPr>
              <w:pStyle w:val="TableContents"/>
              <w:bidi w:val="0"/>
              <w:spacing w:before="0" w:after="283"/>
              <w:jc w:val="left"/>
              <w:rPr/>
            </w:pPr>
            <w:r>
              <w:rPr/>
              <w:t> </w:t>
            </w:r>
          </w:p>
        </w:tc>
        <w:tc>
          <w:tcPr>
            <w:tcW w:w="3315" w:type="dxa"/>
            <w:tcBorders/>
            <w:vAlign w:val="center"/>
          </w:tcPr>
          <w:p>
            <w:pPr>
              <w:pStyle w:val="TableContents"/>
              <w:bidi w:val="0"/>
              <w:spacing w:before="0" w:after="283"/>
              <w:jc w:val="both"/>
              <w:rPr>
                <w:sz w:val="20"/>
              </w:rPr>
            </w:pPr>
            <w:r>
              <w:rPr>
                <w:sz w:val="20"/>
              </w:rPr>
              <w:t>Geoffrey Dow</w:t>
            </w:r>
          </w:p>
        </w:tc>
        <w:tc>
          <w:tcPr>
            <w:tcW w:w="75" w:type="dxa"/>
            <w:tcBorders/>
            <w:vAlign w:val="center"/>
          </w:tcPr>
          <w:p>
            <w:pPr>
              <w:pStyle w:val="TableContents"/>
              <w:bidi w:val="0"/>
              <w:spacing w:before="0" w:after="283"/>
              <w:jc w:val="left"/>
              <w:rPr/>
            </w:pPr>
            <w:r>
              <w:rPr/>
              <w:t> </w:t>
            </w:r>
          </w:p>
        </w:tc>
      </w:tr>
      <w:tr>
        <w:trPr/>
        <w:tc>
          <w:tcPr>
            <w:tcW w:w="409" w:type="dxa"/>
            <w:tcBorders/>
            <w:vAlign w:val="center"/>
          </w:tcPr>
          <w:p>
            <w:pPr>
              <w:pStyle w:val="TableContents"/>
              <w:bidi w:val="0"/>
              <w:spacing w:before="0" w:after="283"/>
              <w:jc w:val="left"/>
              <w:rPr/>
            </w:pPr>
            <w:r>
              <w:rPr/>
              <w:t> </w:t>
            </w:r>
          </w:p>
        </w:tc>
        <w:tc>
          <w:tcPr>
            <w:tcW w:w="33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Geoffrey Dow and Tyrone Miller, and each of them (with full power to each of them to act alone), his or her true and lawful attorneys-in-fact and agents, with full power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565"/>
        <w:gridCol w:w="60"/>
        <w:gridCol w:w="3830"/>
        <w:gridCol w:w="60"/>
        <w:gridCol w:w="1625"/>
      </w:tblGrid>
      <w:tr>
        <w:trPr/>
        <w:tc>
          <w:tcPr>
            <w:tcW w:w="156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830" w:type="dxa"/>
            <w:tcBorders>
              <w:bottom w:val="single" w:sz="12" w:space="0" w:color="000000"/>
            </w:tcBorders>
            <w:vAlign w:val="center"/>
          </w:tcPr>
          <w:p>
            <w:pPr>
              <w:pStyle w:val="TableContents"/>
              <w:bidi w:val="0"/>
              <w:spacing w:before="0" w:after="283"/>
              <w:jc w:val="center"/>
              <w:rPr>
                <w:b/>
                <w:sz w:val="20"/>
              </w:rPr>
            </w:pPr>
            <w:r>
              <w:rPr>
                <w:b/>
                <w:sz w:val="20"/>
              </w:rPr>
              <w:t>Position</w:t>
            </w:r>
          </w:p>
        </w:tc>
        <w:tc>
          <w:tcPr>
            <w:tcW w:w="60" w:type="dxa"/>
            <w:tcBorders/>
            <w:tcMar>
              <w:bottom w:w="0" w:type="dxa"/>
            </w:tcMar>
            <w:vAlign w:val="center"/>
          </w:tcPr>
          <w:p>
            <w:pPr>
              <w:pStyle w:val="TableContents"/>
              <w:bidi w:val="0"/>
              <w:spacing w:before="0" w:after="283"/>
              <w:jc w:val="center"/>
              <w:rPr/>
            </w:pPr>
            <w:r>
              <w:rPr/>
              <w:t> </w:t>
            </w:r>
          </w:p>
        </w:tc>
        <w:tc>
          <w:tcPr>
            <w:tcW w:w="162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bottom w:val="single" w:sz="12" w:space="0" w:color="000000"/>
            </w:tcBorders>
            <w:vAlign w:val="center"/>
          </w:tcPr>
          <w:p>
            <w:pPr>
              <w:pStyle w:val="TableContents"/>
              <w:bidi w:val="0"/>
              <w:spacing w:before="0" w:after="283"/>
              <w:jc w:val="left"/>
              <w:rPr>
                <w:i/>
                <w:sz w:val="20"/>
              </w:rPr>
            </w:pPr>
            <w:r>
              <w:rPr>
                <w:i/>
                <w:sz w:val="20"/>
              </w:rPr>
              <w:t>/s/ Geoffrey Dow</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1565" w:type="dxa"/>
            <w:tcBorders/>
            <w:tcMar>
              <w:bottom w:w="0" w:type="dxa"/>
            </w:tcMar>
            <w:vAlign w:val="center"/>
          </w:tcPr>
          <w:p>
            <w:pPr>
              <w:pStyle w:val="TableContents"/>
              <w:bidi w:val="0"/>
              <w:spacing w:before="0" w:after="283"/>
              <w:jc w:val="left"/>
              <w:rPr>
                <w:sz w:val="20"/>
              </w:rPr>
            </w:pPr>
            <w:r>
              <w:rPr>
                <w:sz w:val="20"/>
              </w:rPr>
              <w:t>Geoffrey Dow</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bottom w:val="single" w:sz="12" w:space="0" w:color="000000"/>
            </w:tcBorders>
            <w:vAlign w:val="center"/>
          </w:tcPr>
          <w:p>
            <w:pPr>
              <w:pStyle w:val="TableContents"/>
              <w:bidi w:val="0"/>
              <w:spacing w:before="0" w:after="283"/>
              <w:jc w:val="left"/>
              <w:rPr>
                <w:i/>
                <w:sz w:val="20"/>
              </w:rPr>
            </w:pPr>
            <w:r>
              <w:rPr>
                <w:i/>
                <w:sz w:val="20"/>
              </w:rPr>
              <w:t>/s/ Tyrone Miller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1565" w:type="dxa"/>
            <w:tcBorders/>
            <w:tcMar>
              <w:bottom w:w="0" w:type="dxa"/>
            </w:tcMar>
            <w:vAlign w:val="center"/>
          </w:tcPr>
          <w:p>
            <w:pPr>
              <w:pStyle w:val="TableContents"/>
              <w:bidi w:val="0"/>
              <w:spacing w:before="0" w:after="283"/>
              <w:jc w:val="left"/>
              <w:rPr>
                <w:sz w:val="20"/>
              </w:rPr>
            </w:pPr>
            <w:r>
              <w:rPr>
                <w:sz w:val="20"/>
              </w:rPr>
              <w:t>Tyrone Miller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bottom w:val="single" w:sz="12" w:space="0" w:color="000000"/>
            </w:tcBorders>
            <w:vAlign w:val="center"/>
          </w:tcPr>
          <w:p>
            <w:pPr>
              <w:pStyle w:val="TableContents"/>
              <w:bidi w:val="0"/>
              <w:spacing w:before="0" w:after="283"/>
              <w:jc w:val="left"/>
              <w:rPr>
                <w:i/>
                <w:sz w:val="20"/>
              </w:rPr>
            </w:pPr>
            <w:r>
              <w:rPr>
                <w:i/>
                <w:sz w:val="20"/>
              </w:rPr>
              <w:t>/s/ Cheryl Xu</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1565" w:type="dxa"/>
            <w:tcBorders/>
            <w:tcMar>
              <w:bottom w:w="0" w:type="dxa"/>
            </w:tcMar>
            <w:vAlign w:val="center"/>
          </w:tcPr>
          <w:p>
            <w:pPr>
              <w:pStyle w:val="TableContents"/>
              <w:bidi w:val="0"/>
              <w:spacing w:before="0" w:after="283"/>
              <w:jc w:val="left"/>
              <w:rPr>
                <w:sz w:val="20"/>
              </w:rPr>
            </w:pPr>
            <w:r>
              <w:rPr>
                <w:sz w:val="20"/>
              </w:rPr>
              <w:t>Cheryl Xu</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bottom w:val="single" w:sz="12" w:space="0" w:color="000000"/>
            </w:tcBorders>
            <w:vAlign w:val="center"/>
          </w:tcPr>
          <w:p>
            <w:pPr>
              <w:pStyle w:val="TableContents"/>
              <w:bidi w:val="0"/>
              <w:spacing w:before="0" w:after="283"/>
              <w:jc w:val="left"/>
              <w:rPr>
                <w:i/>
                <w:sz w:val="20"/>
              </w:rPr>
            </w:pPr>
            <w:r>
              <w:rPr>
                <w:i/>
                <w:sz w:val="20"/>
              </w:rPr>
              <w:t>/s/ Stephen Toovey</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1565" w:type="dxa"/>
            <w:tcBorders/>
            <w:tcMar>
              <w:bottom w:w="0" w:type="dxa"/>
            </w:tcMar>
            <w:vAlign w:val="center"/>
          </w:tcPr>
          <w:p>
            <w:pPr>
              <w:pStyle w:val="TableContents"/>
              <w:bidi w:val="0"/>
              <w:spacing w:before="0" w:after="283"/>
              <w:jc w:val="left"/>
              <w:rPr>
                <w:sz w:val="20"/>
              </w:rPr>
            </w:pPr>
            <w:r>
              <w:rPr>
                <w:sz w:val="20"/>
              </w:rPr>
              <w:t>Stephen Toovey</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bottom w:val="single" w:sz="12" w:space="0" w:color="000000"/>
            </w:tcBorders>
            <w:vAlign w:val="center"/>
          </w:tcPr>
          <w:p>
            <w:pPr>
              <w:pStyle w:val="TableContents"/>
              <w:bidi w:val="0"/>
              <w:spacing w:before="0" w:after="283"/>
              <w:jc w:val="left"/>
              <w:rPr>
                <w:i/>
                <w:sz w:val="20"/>
              </w:rPr>
            </w:pPr>
            <w:r>
              <w:rPr>
                <w:i/>
                <w:sz w:val="20"/>
              </w:rPr>
              <w:t>/s/ Eric Francois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1565" w:type="dxa"/>
            <w:tcBorders/>
            <w:tcMar>
              <w:bottom w:w="0" w:type="dxa"/>
            </w:tcMar>
            <w:vAlign w:val="center"/>
          </w:tcPr>
          <w:p>
            <w:pPr>
              <w:pStyle w:val="TableContents"/>
              <w:bidi w:val="0"/>
              <w:spacing w:before="0" w:after="283"/>
              <w:jc w:val="left"/>
              <w:rPr>
                <w:sz w:val="20"/>
              </w:rPr>
            </w:pPr>
            <w:r>
              <w:rPr>
                <w:sz w:val="20"/>
              </w:rPr>
              <w:t>Eric Francois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565" w:type="dxa"/>
            <w:tcBorders>
              <w:bottom w:val="single" w:sz="12" w:space="0" w:color="000000"/>
            </w:tcBorders>
            <w:vAlign w:val="center"/>
          </w:tcPr>
          <w:p>
            <w:pPr>
              <w:pStyle w:val="TableContents"/>
              <w:bidi w:val="0"/>
              <w:spacing w:before="0" w:after="283"/>
              <w:jc w:val="left"/>
              <w:rPr>
                <w:i/>
                <w:sz w:val="20"/>
              </w:rPr>
            </w:pPr>
            <w:r>
              <w:rPr>
                <w:i/>
                <w:sz w:val="20"/>
              </w:rPr>
              <w:t>*/s/ Paul Field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1565" w:type="dxa"/>
            <w:tcBorders/>
            <w:tcMar>
              <w:bottom w:w="0" w:type="dxa"/>
            </w:tcMar>
            <w:vAlign w:val="center"/>
          </w:tcPr>
          <w:p>
            <w:pPr>
              <w:pStyle w:val="TableContents"/>
              <w:bidi w:val="0"/>
              <w:spacing w:before="0" w:after="283"/>
              <w:jc w:val="left"/>
              <w:rPr>
                <w:sz w:val="20"/>
              </w:rPr>
            </w:pPr>
            <w:r>
              <w:rPr>
                <w:sz w:val="20"/>
              </w:rPr>
              <w:t>Paul Field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485"/>
        <w:gridCol w:w="1385"/>
        <w:gridCol w:w="75"/>
      </w:tblGrid>
      <w:tr>
        <w:trPr/>
        <w:tc>
          <w:tcPr>
            <w:tcW w:w="485" w:type="dxa"/>
            <w:tcBorders/>
            <w:vAlign w:val="center"/>
          </w:tcPr>
          <w:p>
            <w:pPr>
              <w:pStyle w:val="TableContents"/>
              <w:bidi w:val="0"/>
              <w:spacing w:before="0" w:after="283"/>
              <w:jc w:val="left"/>
              <w:rPr>
                <w:sz w:val="20"/>
              </w:rPr>
            </w:pPr>
            <w:r>
              <w:rPr>
                <w:sz w:val="20"/>
              </w:rPr>
              <w:t>* By:</w:t>
            </w:r>
          </w:p>
        </w:tc>
        <w:tc>
          <w:tcPr>
            <w:tcW w:w="138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Geoffrey Dow</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Geoffrey Dow</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0"/>
        <w:gridCol w:w="60"/>
        <w:gridCol w:w="9275"/>
      </w:tblGrid>
      <w:tr>
        <w:trPr/>
        <w:tc>
          <w:tcPr>
            <w:tcW w:w="870"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7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870" w:type="dxa"/>
            <w:tcBorders/>
            <w:shd w:fill="CCEEFF" w:val="clear"/>
            <w:tcMar>
              <w:bottom w:w="0" w:type="dxa"/>
            </w:tcMar>
            <w:vAlign w:val="center"/>
          </w:tcPr>
          <w:p>
            <w:pPr>
              <w:pStyle w:val="TableContents"/>
              <w:bidi w:val="0"/>
              <w:spacing w:before="0" w:after="283"/>
              <w:jc w:val="both"/>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r:id="rId23">
              <w:r>
                <w:rPr>
                  <w:rStyle w:val="InternetLink"/>
                  <w:sz w:val="20"/>
                </w:rPr>
                <w:t>Form of Pre-Funded Warrant (incorporated herein by reference to Exhibit 10.3 to the registrant’s Current Report on Form 8-K filed with the SEC on August 4, 2026).</w:t>
              </w:r>
            </w:hyperlink>
          </w:p>
        </w:tc>
      </w:tr>
      <w:tr>
        <w:trPr/>
        <w:tc>
          <w:tcPr>
            <w:tcW w:w="870" w:type="dxa"/>
            <w:tcBorders/>
            <w:shd w:fill="FFFFFF" w:val="clear"/>
            <w:tcMar>
              <w:bottom w:w="0" w:type="dxa"/>
            </w:tcMar>
            <w:vAlign w:val="center"/>
          </w:tcPr>
          <w:p>
            <w:pPr>
              <w:pStyle w:val="TableContents"/>
              <w:bidi w:val="0"/>
              <w:spacing w:before="0" w:after="283"/>
              <w:jc w:val="both"/>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both"/>
              <w:rPr/>
            </w:pPr>
            <w:hyperlink r:id="rId24">
              <w:r>
                <w:rPr>
                  <w:rStyle w:val="InternetLink"/>
                  <w:sz w:val="20"/>
                </w:rPr>
                <w:t>Form of Series A Warrant (incorporated herein by reference to Exhibit 10.4 to the registrant’s Current Report on Form 8-K filed with the SEC on August 4, 2026).</w:t>
              </w:r>
            </w:hyperlink>
          </w:p>
        </w:tc>
      </w:tr>
      <w:tr>
        <w:trPr/>
        <w:tc>
          <w:tcPr>
            <w:tcW w:w="870" w:type="dxa"/>
            <w:tcBorders/>
            <w:shd w:fill="CCEEFF" w:val="clear"/>
            <w:tcMar>
              <w:bottom w:w="0" w:type="dxa"/>
            </w:tcMar>
            <w:vAlign w:val="center"/>
          </w:tcPr>
          <w:p>
            <w:pPr>
              <w:pStyle w:val="TableContents"/>
              <w:bidi w:val="0"/>
              <w:spacing w:before="0" w:after="283"/>
              <w:jc w:val="both"/>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r:id="rId25">
              <w:r>
                <w:rPr>
                  <w:rStyle w:val="InternetLink"/>
                  <w:sz w:val="20"/>
                </w:rPr>
                <w:t>Form of Series B Warrant (incorporated herein by reference to Exhibit 10.4 to the registrant’s Current Report on Form 8-K filed with the SEC on August 4, 2026).</w:t>
              </w:r>
            </w:hyperlink>
          </w:p>
        </w:tc>
      </w:tr>
      <w:tr>
        <w:trPr/>
        <w:tc>
          <w:tcPr>
            <w:tcW w:w="870" w:type="dxa"/>
            <w:tcBorders/>
            <w:shd w:fill="FFFFFF" w:val="clear"/>
            <w:tcMar>
              <w:bottom w:w="0" w:type="dxa"/>
            </w:tcMar>
            <w:vAlign w:val="center"/>
          </w:tcPr>
          <w:p>
            <w:pPr>
              <w:pStyle w:val="TableContents"/>
              <w:bidi w:val="0"/>
              <w:spacing w:before="0" w:after="283"/>
              <w:jc w:val="both"/>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both"/>
              <w:rPr/>
            </w:pPr>
            <w:hyperlink r:id="rId26">
              <w:r>
                <w:rPr>
                  <w:rStyle w:val="InternetLink"/>
                  <w:sz w:val="20"/>
                </w:rPr>
                <w:t>Form of Placement Agent Warrant (incorporated herein by reference to Exhibit 10.5 to the registrant’s Current Report on Form 8-K filed with the SEC on August 4, 2026).</w:t>
              </w:r>
            </w:hyperlink>
          </w:p>
        </w:tc>
      </w:tr>
      <w:tr>
        <w:trPr/>
        <w:tc>
          <w:tcPr>
            <w:tcW w:w="870" w:type="dxa"/>
            <w:tcBorders/>
            <w:shd w:fill="CCEEFF" w:val="clear"/>
            <w:tcMar>
              <w:bottom w:w="0" w:type="dxa"/>
            </w:tcMar>
            <w:vAlign w:val="center"/>
          </w:tcPr>
          <w:p>
            <w:pPr>
              <w:pStyle w:val="TableContents"/>
              <w:bidi w:val="0"/>
              <w:spacing w:before="0" w:after="283"/>
              <w:jc w:val="both"/>
              <w:rPr>
                <w:sz w:val="20"/>
              </w:rPr>
            </w:pPr>
            <w:r>
              <w:rPr>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w:anchor="ea030142601ex5-1.htm">
              <w:r>
                <w:rPr>
                  <w:rStyle w:val="InternetLink"/>
                  <w:sz w:val="20"/>
                </w:rPr>
                <w:t>Opinion of Sichenzia Ross Ference Carmel LLP</w:t>
              </w:r>
            </w:hyperlink>
          </w:p>
        </w:tc>
      </w:tr>
      <w:tr>
        <w:trPr/>
        <w:tc>
          <w:tcPr>
            <w:tcW w:w="870" w:type="dxa"/>
            <w:tcBorders/>
            <w:shd w:fill="FFFFFF" w:val="clear"/>
            <w:tcMar>
              <w:bottom w:w="0" w:type="dxa"/>
            </w:tcMar>
            <w:vAlign w:val="center"/>
          </w:tcPr>
          <w:p>
            <w:pPr>
              <w:pStyle w:val="TableContents"/>
              <w:bidi w:val="0"/>
              <w:spacing w:before="0" w:after="283"/>
              <w:jc w:val="both"/>
              <w:rPr>
                <w:sz w:val="20"/>
              </w:rPr>
            </w:pPr>
            <w:r>
              <w:rPr>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both"/>
              <w:rPr/>
            </w:pPr>
            <w:hyperlink r:id="rId27">
              <w:r>
                <w:rPr>
                  <w:rStyle w:val="InternetLink"/>
                  <w:sz w:val="20"/>
                </w:rPr>
                <w:t>Form of Securities Purchase Agreement (incorporated herein by reference to Exhibit 10.1 to the registrant’s Current Report on Form 8-K filed with the SEC on August 4, 2026).</w:t>
              </w:r>
            </w:hyperlink>
          </w:p>
        </w:tc>
      </w:tr>
      <w:tr>
        <w:trPr/>
        <w:tc>
          <w:tcPr>
            <w:tcW w:w="870" w:type="dxa"/>
            <w:tcBorders/>
            <w:shd w:fill="CCEEFF" w:val="clear"/>
            <w:tcMar>
              <w:bottom w:w="0" w:type="dxa"/>
            </w:tcMar>
            <w:vAlign w:val="center"/>
          </w:tcPr>
          <w:p>
            <w:pPr>
              <w:pStyle w:val="TableContents"/>
              <w:bidi w:val="0"/>
              <w:spacing w:before="0" w:after="283"/>
              <w:jc w:val="both"/>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r:id="rId28">
              <w:r>
                <w:rPr>
                  <w:rStyle w:val="InternetLink"/>
                  <w:sz w:val="20"/>
                </w:rPr>
                <w:t>Form of Registration Rights Agreement (incorporated herein by reference to Exhibit 10.2 to the registrant’s Current Report on Form 8-K filed with the SEC on August 4, 2026).</w:t>
              </w:r>
            </w:hyperlink>
          </w:p>
        </w:tc>
      </w:tr>
      <w:tr>
        <w:trPr/>
        <w:tc>
          <w:tcPr>
            <w:tcW w:w="870" w:type="dxa"/>
            <w:tcBorders/>
            <w:shd w:fill="FFFFFF" w:val="clear"/>
            <w:tcMar>
              <w:bottom w:w="0" w:type="dxa"/>
            </w:tcMar>
            <w:vAlign w:val="center"/>
          </w:tcPr>
          <w:p>
            <w:pPr>
              <w:pStyle w:val="TableContents"/>
              <w:bidi w:val="0"/>
              <w:spacing w:before="0" w:after="283"/>
              <w:jc w:val="both"/>
              <w:rPr>
                <w:sz w:val="20"/>
              </w:rPr>
            </w:pPr>
            <w:r>
              <w:rPr>
                <w:sz w:val="20"/>
              </w:rPr>
              <w:t>23.1*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a030142601ex23-1.htm">
              <w:r>
                <w:rPr>
                  <w:rStyle w:val="InternetLink"/>
                  <w:sz w:val="20"/>
                </w:rPr>
                <w:t>Consent of RBSM LLP dated as of August 14, 2026.</w:t>
              </w:r>
            </w:hyperlink>
          </w:p>
        </w:tc>
      </w:tr>
      <w:tr>
        <w:trPr/>
        <w:tc>
          <w:tcPr>
            <w:tcW w:w="870" w:type="dxa"/>
            <w:tcBorders/>
            <w:shd w:fill="CCEEFF" w:val="clear"/>
            <w:tcMar>
              <w:bottom w:w="0" w:type="dxa"/>
            </w:tcMar>
            <w:vAlign w:val="center"/>
          </w:tcPr>
          <w:p>
            <w:pPr>
              <w:pStyle w:val="TableContents"/>
              <w:bidi w:val="0"/>
              <w:spacing w:before="0" w:after="283"/>
              <w:jc w:val="both"/>
              <w:rPr>
                <w:sz w:val="20"/>
              </w:rPr>
            </w:pPr>
            <w:r>
              <w:rPr>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w:anchor="ea030142601ex5-1.htm">
              <w:r>
                <w:rPr>
                  <w:rStyle w:val="InternetLink"/>
                  <w:sz w:val="20"/>
                </w:rPr>
                <w:t>Consent of Sichenzia Ross Ference Carmel LLP (to be included in Exhibit 5.1).</w:t>
              </w:r>
            </w:hyperlink>
          </w:p>
        </w:tc>
      </w:tr>
      <w:tr>
        <w:trPr/>
        <w:tc>
          <w:tcPr>
            <w:tcW w:w="870" w:type="dxa"/>
            <w:tcBorders/>
            <w:shd w:fill="FFFFFF" w:val="clear"/>
            <w:tcMar>
              <w:bottom w:w="0" w:type="dxa"/>
            </w:tcMar>
            <w:vAlign w:val="center"/>
          </w:tcPr>
          <w:p>
            <w:pPr>
              <w:pStyle w:val="TableContents"/>
              <w:bidi w:val="0"/>
              <w:spacing w:before="0" w:after="283"/>
              <w:jc w:val="both"/>
              <w:rPr>
                <w:sz w:val="20"/>
              </w:rPr>
            </w:pPr>
            <w:r>
              <w:rPr>
                <w:sz w:val="20"/>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both"/>
              <w:rPr/>
            </w:pPr>
            <w:hyperlink w:anchor="a_016">
              <w:r>
                <w:rPr>
                  <w:rStyle w:val="InternetLink"/>
                  <w:sz w:val="20"/>
                </w:rPr>
                <w:t>Power of Attorney (included on signature page).</w:t>
              </w:r>
            </w:hyperlink>
          </w:p>
        </w:tc>
      </w:tr>
      <w:tr>
        <w:trPr/>
        <w:tc>
          <w:tcPr>
            <w:tcW w:w="870" w:type="dxa"/>
            <w:tcBorders/>
            <w:shd w:fill="CCEEFF" w:val="clear"/>
            <w:tcMar>
              <w:bottom w:w="0" w:type="dxa"/>
            </w:tcMar>
            <w:vAlign w:val="center"/>
          </w:tcPr>
          <w:p>
            <w:pPr>
              <w:pStyle w:val="TableContents"/>
              <w:bidi w:val="0"/>
              <w:spacing w:before="0" w:after="283"/>
              <w:jc w:val="both"/>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w:anchor="ea0301426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sz w:val="20"/>
              </w:rPr>
            </w:pPr>
            <w:r>
              <w:rPr>
                <w:sz w:val="20"/>
              </w:rPr>
              <w:t>*</w:t>
            </w:r>
          </w:p>
        </w:tc>
        <w:tc>
          <w:tcPr>
            <w:tcW w:w="1205"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30142601ex5-1.htm"/>
      <w:bookmarkStart w:id="20" w:name="ksea030142601ex51"/>
      <w:bookmarkEnd w:id="19"/>
      <w:bookmarkEnd w:id="20"/>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00225" cy="752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9"/>
                    <a:stretch>
                      <a:fillRect/>
                    </a:stretch>
                  </pic:blipFill>
                  <pic:spPr bwMode="auto">
                    <a:xfrm>
                      <a:off x="0" y="0"/>
                      <a:ext cx="1800225"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Degrees Pharmaceuticals,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 Connecticut Avenue NW Suite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95"/>
        <w:gridCol w:w="3695"/>
      </w:tblGrid>
      <w:tr>
        <w:trPr/>
        <w:tc>
          <w:tcPr>
            <w:tcW w:w="395" w:type="dxa"/>
            <w:tcBorders/>
            <w:vAlign w:val="center"/>
          </w:tcPr>
          <w:p>
            <w:pPr>
              <w:pStyle w:val="TableContents"/>
              <w:bidi w:val="0"/>
              <w:spacing w:before="0" w:after="283"/>
              <w:jc w:val="left"/>
              <w:rPr>
                <w:b/>
              </w:rPr>
            </w:pPr>
            <w:r>
              <w:rPr>
                <w:b/>
              </w:rPr>
              <w:t>Re:</w:t>
            </w:r>
          </w:p>
        </w:tc>
        <w:tc>
          <w:tcPr>
            <w:tcW w:w="3695" w:type="dxa"/>
            <w:tcBorders/>
            <w:vAlign w:val="center"/>
          </w:tcPr>
          <w:p>
            <w:pPr>
              <w:pStyle w:val="TableContents"/>
              <w:bidi w:val="0"/>
              <w:spacing w:before="0" w:after="283"/>
              <w:jc w:val="both"/>
              <w:rPr>
                <w:b/>
              </w:rPr>
            </w:pPr>
            <w:r>
              <w:rPr>
                <w:b/>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counsel to 60 Degrees Pharmaceuticals, Inc., a Delaware corporation (the “Company”), in connection with the filing and preparing of a registration statement on Form S-3, and as may be further amended or supplemented (the “Registration Statement”), to be filed with the Securities and Exchange Commission (the “Commission”) pursuant to the Securities Act of 1933, as amended (the “Act”), relating to the registration of up to an aggregate of 1,769,593 shares (the “Resale Shares”) of common stock, par value $0.0001 per share (the “Common Stock”), consisting of: (i) 191,571 shares of Common Stock, (ii) 383,142 shares of Common Stock issuable upon exercise of pre-funded warrants held by certain selling stockholders (the “Pre-Funded Warrants”), (iii) 574,713 shares of Common Stock issuable upon exercise of Series A warrants (the “Series A Warrants”), and (iv) 574,713 shares of Common Stock issuable upon exercise of Series B warrants (the “Series B Warrants”) and (v) 45,454 share of Common Stock issuable upon the exercise of placement agent warrants (the “Placement Agent Warrants”, and together with the Pre-Funded Warrants, Series A Warrants and Series B Warrants, the “Warrants”). The Warrants were issued to the selling stockholders in connection with a private placement the Company completed on July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herein, we have examined originals or copies, certified or otherwise identified to our satisfaction, of such documents, corporate records, certificates of public officials and other instruments as we have deemed necessary or advisable. In such examination, we have assumed without verification the genuineness of all signatures, the legal capacity of natural persons, the authenticity of all documents submitted to us as originals, the conformity to the originals of all documents submitted to us as copies and the authenticity of the originals of such copies. As to questions of fact material to this opinion, we have relied on certificates or comparable documents of public officials and of officers and representatives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opinions other than as specifically set forth herein. We are opining solely on as to the General Corporation Law of the State of Delaware and we express no opinion as to whether the laws of any jurisdiction are applicable to the subject matter hereof. We are not rendering any opinion as to compliance with any federal or state law, rule or regulation relating to securities, or to the sale or issuance thereof. This opinion letter deals only with the specified legal issues expressly addressed herein, and you should not infer any opinion that is not explicitly stated herein from any matter addressed in this opinion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 31ST FLOOR | NEW YORK, NY | 10036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(212) 930-9700 | F (212) 930-9725 | WWW.SRFC.LAW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00225" cy="752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0"/>
                    <a:stretch>
                      <a:fillRect/>
                    </a:stretch>
                  </pic:blipFill>
                  <pic:spPr bwMode="auto">
                    <a:xfrm>
                      <a:off x="0" y="0"/>
                      <a:ext cx="1800225" cy="7524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t>The 191,571 shares of Common Stock referenced in clause (i) above have been validly issued, are fully paid and nonassessable.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t>Upon exercise of the Warrants against payment of the exercise price therefor and in accordance with the terms of Warrants, the shares of Common Stock underlying the Warrants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foregoing opinion, we have assumed that at or prior to the time of the delivery of any Resale Shares, that the Registration Statement will have been declared effective under the Act and that the registration will apply to all of the Resale Shares and will not have been modified or rescinded and that there will not have occurred any change in law affecting the validity of the issuance of such Resale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references to our firm therein under the caption “Legal Matters.” In giving our consent, we do not thereby admit that we are experts with respect to any part of the Registration Statement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and is not to be used, circulated, quoted or otherwise relied upon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Sichenzia Ross Ference Carmel LLP</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 31ST FLOOR | NEW YORK, NY | 10036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(212) 930-9700 | F (212) 930-9725 | WWW.SRFC.LAW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30142601ex23-1.htm"/>
      <w:bookmarkStart w:id="22" w:name="ksea030142601ex231"/>
      <w:bookmarkEnd w:id="21"/>
      <w:bookmarkEnd w:id="2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60 Degrees Pharmaceuticals, Inc. on Form S-3 of our report dated March 30, 2026 relating to the financial statements of 60 Degrees Pharmaceuticals, Inc., as of December 31, 2025 and 2024 and for each of the years in the two-year period ended December 31, 2025 (which report includes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the Prospectus, which is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RBSM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3" w:name="ea030142601ex-fee.htm"/>
      <w:bookmarkStart w:id="24" w:name="ksea030142601exfee"/>
      <w:bookmarkEnd w:id="23"/>
      <w:bookmarkEnd w:id="2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60 Degrees Pharmaceuticals,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8"/>
        <w:gridCol w:w="60"/>
        <w:gridCol w:w="804"/>
        <w:gridCol w:w="60"/>
        <w:gridCol w:w="934"/>
        <w:gridCol w:w="60"/>
        <w:gridCol w:w="575"/>
        <w:gridCol w:w="60"/>
        <w:gridCol w:w="1103"/>
        <w:gridCol w:w="60"/>
        <w:gridCol w:w="1032"/>
        <w:gridCol w:w="60"/>
        <w:gridCol w:w="243"/>
        <w:gridCol w:w="767"/>
        <w:gridCol w:w="60"/>
        <w:gridCol w:w="141"/>
        <w:gridCol w:w="1295"/>
        <w:gridCol w:w="60"/>
        <w:gridCol w:w="1040"/>
        <w:gridCol w:w="60"/>
        <w:gridCol w:w="199"/>
        <w:gridCol w:w="994"/>
      </w:tblGrid>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538"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4"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8"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1,769,593</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767" w:type="dxa"/>
            <w:tcBorders/>
            <w:vAlign w:val="center"/>
          </w:tcPr>
          <w:p>
            <w:pPr>
              <w:pStyle w:val="TableContents"/>
              <w:bidi w:val="0"/>
              <w:spacing w:before="0" w:after="283"/>
              <w:jc w:val="right"/>
              <w:rPr/>
            </w:pPr>
            <w:r>
              <w:rPr/>
              <w:t>1.16</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2,052,727.88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283.48</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6"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2,052,727.88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283.48</w:t>
            </w:r>
          </w:p>
        </w:tc>
      </w:tr>
      <w:tr>
        <w:trPr/>
        <w:tc>
          <w:tcPr>
            <w:tcW w:w="6356"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0.00</w:t>
            </w:r>
          </w:p>
        </w:tc>
      </w:tr>
      <w:tr>
        <w:trPr/>
        <w:tc>
          <w:tcPr>
            <w:tcW w:w="6356"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56"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8" w:space="0" w:color="000000"/>
            </w:tcBorders>
            <w:tcMar>
              <w:bottom w:w="28" w:type="dxa"/>
            </w:tcMar>
            <w:vAlign w:val="center"/>
          </w:tcPr>
          <w:p>
            <w:pPr>
              <w:pStyle w:val="TableContents"/>
              <w:bidi w:val="0"/>
              <w:spacing w:before="0" w:after="283"/>
              <w:jc w:val="left"/>
              <w:rPr/>
            </w:pPr>
            <w:r>
              <w:rPr/>
              <w:t>$</w:t>
            </w:r>
          </w:p>
        </w:tc>
        <w:tc>
          <w:tcPr>
            <w:tcW w:w="994" w:type="dxa"/>
            <w:tcBorders>
              <w:bottom w:val="double" w:sz="8" w:space="0" w:color="000000"/>
            </w:tcBorders>
            <w:tcMar>
              <w:bottom w:w="28" w:type="dxa"/>
            </w:tcMar>
            <w:vAlign w:val="center"/>
          </w:tcPr>
          <w:p>
            <w:pPr>
              <w:pStyle w:val="TableContents"/>
              <w:bidi w:val="0"/>
              <w:spacing w:before="0" w:after="283"/>
              <w:jc w:val="right"/>
              <w:rPr/>
            </w:pPr>
            <w:r>
              <w:rPr/>
              <w:t>283.48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Consists of an aggregate of 1,769,593 shares of Common Stock registered for sale by certain of the selling stockholders named in this registration statement including (i) 191,571 shares of common stock, (ii) 383,142 shares of Common Stock issuable upon exercise of pre-funded warrants held by certain selling stockholders, (iii) 574,713 shares of Common Stock issuable upon exercise of Series A warrants, (iv) 574,713 shares of Common Stock issuable upon exercise of Series B warrants and (v) 45,454 share of Common Stock issuable upon the exercise of placement agent warrants that were issued to designees of H.C. Wainwright &amp; Co., LLC.</w:t>
              <w:br/>
              <w:br/>
              <w:t>Determined pursuant to Rule 457(c) under the Securities Act of 1933, as amended, solely for the purpose of calculating the registration fee. The price shown is the average of the high and low selling price of the Common Stock on August 12, 2026, which is a date within 5 business days prior to the date of filing of this Registration Statement, as reported on the Nasdaq Capital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ix?doc=/Archives/edgar/data/1946563/000155485526000467/sxtp-20251231.htm" TargetMode="External"/><Relationship Id="rId5" Type="http://schemas.openxmlformats.org/officeDocument/2006/relationships/hyperlink" Target="https://www.sec.gov/ix?doc=/Archives/edgar/data/1946563/000155485526001860/sxtp-20260630.htm" TargetMode="External"/><Relationship Id="rId6" Type="http://schemas.openxmlformats.org/officeDocument/2006/relationships/hyperlink" Target="http://www.sec.gov/ix?doc=/Archives/edgar/data/1946563/000121390026066363/ea0292597-pre14a_60degrees.htm" TargetMode="External"/><Relationship Id="rId7" Type="http://schemas.openxmlformats.org/officeDocument/2006/relationships/hyperlink" Target="http://www.sec.gov/Archives/edgar/data/1946563/000121390026074961/ea0296941-def14a_60degrees.htm" TargetMode="External"/><Relationship Id="rId8" Type="http://schemas.openxmlformats.org/officeDocument/2006/relationships/hyperlink" Target="http://www.sec.gov/ix?doc=/Archives/edgar/data/1946563/000121390026002359/ea0272213-8k_60degrees.htm" TargetMode="External"/><Relationship Id="rId9" Type="http://schemas.openxmlformats.org/officeDocument/2006/relationships/hyperlink" Target="http://www.sec.gov/ix?doc=/Archives/edgar/data/1946563/000121390026006179/ea0273440-8k_60degrees.htm" TargetMode="External"/><Relationship Id="rId10" Type="http://schemas.openxmlformats.org/officeDocument/2006/relationships/hyperlink" Target="http://www.sec.gov/ix?doc=/Archives/edgar/data/1946563/000121390026007330/ea0273809-8k_60degrees.htm" TargetMode="External"/><Relationship Id="rId11" Type="http://schemas.openxmlformats.org/officeDocument/2006/relationships/hyperlink" Target="http://www.sec.gov/ix?doc=/Archives/edgar/data/1946563/000121390026015239/ea0276747-8k_60degrees.htm" TargetMode="External"/><Relationship Id="rId12" Type="http://schemas.openxmlformats.org/officeDocument/2006/relationships/hyperlink" Target="http://www.sec.gov/ix?doc=/Archives/edgar/data/1946563/000121390026027008/ea0281488-8k_60degrees.htm" TargetMode="External"/><Relationship Id="rId13" Type="http://schemas.openxmlformats.org/officeDocument/2006/relationships/hyperlink" Target="http://www.sec.gov/ix?doc=/Archives/edgar/data/1946563/000121390026027756/ea0281691-8k_60degrees.htm" TargetMode="External"/><Relationship Id="rId14" Type="http://schemas.openxmlformats.org/officeDocument/2006/relationships/hyperlink" Target="http://www.sec.gov/ix?doc=/Archives/edgar/data/1946563/000121390026032352/ea0282850-8k_60degrees.htm" TargetMode="External"/><Relationship Id="rId15" Type="http://schemas.openxmlformats.org/officeDocument/2006/relationships/hyperlink" Target="http://www.sec.gov/ix?doc=/Archives/edgar/data/1946563/000121390026058495/ea0291366-8k_60degrees.htm" TargetMode="External"/><Relationship Id="rId16" Type="http://schemas.openxmlformats.org/officeDocument/2006/relationships/hyperlink" Target="http://www.sec.gov/ix?doc=/Archives/edgar/data/1946563/000121390026064796/ea0293532-8k_60degrees.htm" TargetMode="External"/><Relationship Id="rId17" Type="http://schemas.openxmlformats.org/officeDocument/2006/relationships/hyperlink" Target="http://www.sec.gov/ix?doc=/Archives/edgar/data/1946563/000121390026076715/ea0297549-8k_60degrees.htm" TargetMode="External"/><Relationship Id="rId18" Type="http://schemas.openxmlformats.org/officeDocument/2006/relationships/hyperlink" Target="http://www.sec.gov/ix?doc=/Archives/edgar/data/1946563/000121390026079612/ea0298505-8k_60degrees.htm" TargetMode="External"/><Relationship Id="rId19" Type="http://schemas.openxmlformats.org/officeDocument/2006/relationships/hyperlink" Target="http://www.sec.gov/ix?doc=/Archives/edgar/data/1946563/000121390026085235/ea0300260-8k_60degrees.htm" TargetMode="External"/><Relationship Id="rId20" Type="http://schemas.openxmlformats.org/officeDocument/2006/relationships/hyperlink" Target="http://www.sec.gov/ix?doc=/Archives/edgar/data/1946563/000121390026086136/ea0300977-8k_60degrees.htm" TargetMode="External"/><Relationship Id="rId21" Type="http://schemas.openxmlformats.org/officeDocument/2006/relationships/hyperlink" Target="http://www.sec.gov/Archives/edgar/data/1946563/000157587223001047/cm375_8a-12ba.htm" TargetMode="External"/><Relationship Id="rId22" Type="http://schemas.openxmlformats.org/officeDocument/2006/relationships/image" Target="media/image1.jpeg"/><Relationship Id="rId23" Type="http://schemas.openxmlformats.org/officeDocument/2006/relationships/hyperlink" Target="http://www.sec.gov/Archives/edgar/data/1946563/000121390026085235/ea030026001ex10-3.htm" TargetMode="External"/><Relationship Id="rId24" Type="http://schemas.openxmlformats.org/officeDocument/2006/relationships/hyperlink" Target="http://www.sec.gov/Archives/edgar/data/1946563/000121390026085235/ea030026001ex10-4.htm" TargetMode="External"/><Relationship Id="rId25" Type="http://schemas.openxmlformats.org/officeDocument/2006/relationships/hyperlink" Target="http://www.sec.gov/Archives/edgar/data/1946563/000121390026085235/ea030026001ex10-4.htm" TargetMode="External"/><Relationship Id="rId26" Type="http://schemas.openxmlformats.org/officeDocument/2006/relationships/hyperlink" Target="http://www.sec.gov/Archives/edgar/data/1946563/000121390026085235/ea030026001ex10-5.htm" TargetMode="External"/><Relationship Id="rId27" Type="http://schemas.openxmlformats.org/officeDocument/2006/relationships/hyperlink" Target="http://www.sec.gov/Archives/edgar/data/1946563/000121390026085235/ea030026001ex10-1.htm" TargetMode="External"/><Relationship Id="rId28" Type="http://schemas.openxmlformats.org/officeDocument/2006/relationships/hyperlink" Target="http://www.sec.gov/Archives/edgar/data/1946563/000121390026085235/ea030026001ex10-2.htm" TargetMode="External"/><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37835</Words>
  <Characters>208931</Characters>
  <CharactersWithSpaces>246975</CharactersWithSpaces>
  <Paragraphs>3376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