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260-8k_60degrees.htm"/>
      <w:bookmarkStart w:id="1" w:name="ksea03002608k_60degrees"/>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7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E_edei--DocumentPeriodEndDate_c202"/>
      <w:bookmarkEnd w:id="3"/>
      <w:r>
        <w:rPr>
          <w:rFonts w:ascii="Times New Roman;Times;Serif" w:hAnsi="Times New Roman;Times;Serif"/>
          <w:b/>
          <w:i w:val="false"/>
          <w:caps w:val="false"/>
          <w:smallCaps w:val="false"/>
          <w:sz w:val="20"/>
          <w:u w:val="single"/>
        </w:rPr>
        <w:t>July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7_edei--EntityFileNumber_c20260730"/>
            <w:bookmarkEnd w:id="6"/>
            <w:r>
              <w:rPr>
                <w:b/>
                <w:sz w:val="20"/>
              </w:rPr>
              <w:t>001-41719</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b/>
                <w:sz w:val="20"/>
              </w:rPr>
            </w:pPr>
            <w:bookmarkStart w:id="7" w:name="xdx_903_edei--EntityTaxIdentificationNum"/>
            <w:bookmarkEnd w:id="7"/>
            <w:r>
              <w:rPr>
                <w:b/>
                <w:sz w:val="20"/>
              </w:rPr>
              <w:t>45-2406880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4085"/>
        <w:gridCol w:w="60"/>
        <w:gridCol w:w="875"/>
      </w:tblGrid>
      <w:tr>
        <w:trPr/>
        <w:tc>
          <w:tcPr>
            <w:tcW w:w="4085" w:type="dxa"/>
            <w:tcBorders>
              <w:bottom w:val="single" w:sz="12" w:space="0" w:color="000000"/>
            </w:tcBorders>
            <w:vAlign w:val="center"/>
          </w:tcPr>
          <w:p>
            <w:pPr>
              <w:pStyle w:val="TableContents"/>
              <w:bidi w:val="0"/>
              <w:spacing w:before="0" w:after="283"/>
              <w:jc w:val="center"/>
              <w:rPr>
                <w:b/>
                <w:sz w:val="20"/>
              </w:rPr>
            </w:pPr>
            <w:bookmarkStart w:id="8" w:name="xdx_90E_edei--EntityAddressAddressLine1_"/>
            <w:bookmarkEnd w:id="8"/>
            <w:r>
              <w:rPr>
                <w:b/>
                <w:sz w:val="20"/>
              </w:rPr>
              <w:t>1025 Connecticut Avenue NW Suite 1000,</w:t>
              <w:br/>
            </w:r>
            <w:bookmarkStart w:id="9" w:name="xdx_908_edei--EntityAddressCityOrTown_c2"/>
            <w:bookmarkEnd w:id="9"/>
            <w:r>
              <w:rPr>
                <w:b/>
                <w:sz w:val="20"/>
              </w:rPr>
              <w:t xml:space="preserve">Washington, </w:t>
            </w:r>
            <w:bookmarkStart w:id="10" w:name="xdx_904_edei--EntityAddressStateOrProvin"/>
            <w:bookmarkEnd w:id="10"/>
            <w:r>
              <w:rPr>
                <w:b/>
                <w:sz w:val="20"/>
              </w:rPr>
              <w:t>D.C.</w:t>
            </w:r>
          </w:p>
        </w:tc>
        <w:tc>
          <w:tcPr>
            <w:tcW w:w="60" w:type="dxa"/>
            <w:tcBorders/>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vAlign w:val="center"/>
          </w:tcPr>
          <w:p>
            <w:pPr>
              <w:pStyle w:val="TableContents"/>
              <w:bidi w:val="0"/>
              <w:spacing w:before="0" w:after="283"/>
              <w:jc w:val="center"/>
              <w:rPr>
                <w:b/>
                <w:sz w:val="20"/>
              </w:rPr>
            </w:pPr>
            <w:bookmarkStart w:id="11" w:name="xdx_905_edei--EntityAddressPostalZipCode"/>
            <w:bookmarkEnd w:id="11"/>
            <w:r>
              <w:rPr>
                <w:b/>
                <w:sz w:val="20"/>
              </w:rPr>
              <w:t>20036</w:t>
            </w:r>
          </w:p>
        </w:tc>
      </w:tr>
      <w:tr>
        <w:trPr/>
        <w:tc>
          <w:tcPr>
            <w:tcW w:w="4085" w:type="dxa"/>
            <w:tcBorders/>
            <w:tcMar>
              <w:bottom w:w="0" w:type="dxa"/>
            </w:tcMar>
            <w:vAlign w:val="center"/>
          </w:tcPr>
          <w:p>
            <w:pPr>
              <w:pStyle w:val="TableContents"/>
              <w:bidi w:val="0"/>
              <w:spacing w:before="0" w:after="283"/>
              <w:jc w:val="center"/>
              <w:rPr>
                <w:sz w:val="20"/>
              </w:rPr>
            </w:pPr>
            <w:r>
              <w:rPr>
                <w:sz w:val="20"/>
              </w:rPr>
              <w:t>(Address of registrant’s principal executive office)</w:t>
            </w:r>
          </w:p>
        </w:tc>
        <w:tc>
          <w:tcPr>
            <w:tcW w:w="60" w:type="dxa"/>
            <w:tcBorders/>
            <w:tcMar>
              <w:bottom w:w="0" w:type="dxa"/>
            </w:tcMar>
            <w:vAlign w:val="center"/>
          </w:tcPr>
          <w:p>
            <w:pPr>
              <w:pStyle w:val="TableContents"/>
              <w:bidi w:val="0"/>
              <w:spacing w:before="0" w:after="283"/>
              <w:jc w:val="center"/>
              <w:rPr/>
            </w:pPr>
            <w:r>
              <w:rPr/>
              <w:t> </w:t>
            </w:r>
          </w:p>
        </w:tc>
        <w:tc>
          <w:tcPr>
            <w:tcW w:w="875"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2" w:name="xdx_906_edei--CityAreaCode_c20260730__20"/>
      <w:bookmarkEnd w:id="12"/>
      <w:r>
        <w:rPr>
          <w:rFonts w:ascii="Times New Roman;Times;Serif" w:hAnsi="Times New Roman;Times;Serif"/>
          <w:b/>
          <w:i w:val="false"/>
          <w:caps w:val="false"/>
          <w:smallCaps w:val="false"/>
          <w:sz w:val="20"/>
          <w:u w:val="single"/>
        </w:rPr>
        <w:t xml:space="preserve">202) </w:t>
      </w:r>
      <w:bookmarkStart w:id="13" w:name="xdx_905_edei--LocalPhoneNumber_c20260730"/>
      <w:bookmarkEnd w:id="13"/>
      <w:r>
        <w:rPr>
          <w:rFonts w:ascii="Times New Roman;Times;Serif" w:hAnsi="Times New Roman;Times;Serif"/>
          <w:b/>
          <w:i w:val="false"/>
          <w:caps w:val="false"/>
          <w:smallCaps w:val="false"/>
          <w:sz w:val="20"/>
          <w:u w:val="single"/>
        </w:rPr>
        <w:t>327-5422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720" w:right="0" w:hanging="72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A_edei--SolicitingMaterial_c202607"/>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720" w:right="0" w:hanging="72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64"/>
        <w:gridCol w:w="60"/>
        <w:gridCol w:w="1540"/>
        <w:gridCol w:w="60"/>
        <w:gridCol w:w="3581"/>
      </w:tblGrid>
      <w:tr>
        <w:trPr/>
        <w:tc>
          <w:tcPr>
            <w:tcW w:w="4964"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81"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964" w:type="dxa"/>
            <w:tcBorders/>
            <w:shd w:fill="CCEEFF" w:val="clear"/>
            <w:tcMar>
              <w:bottom w:w="0" w:type="dxa"/>
            </w:tcMar>
            <w:vAlign w:val="center"/>
          </w:tcPr>
          <w:p>
            <w:pPr>
              <w:pStyle w:val="TableContents"/>
              <w:bidi w:val="0"/>
              <w:spacing w:before="0" w:after="283"/>
              <w:jc w:val="center"/>
              <w:rPr>
                <w:sz w:val="20"/>
              </w:rPr>
            </w:pPr>
            <w:bookmarkStart w:id="18" w:name="xdx_907_edei--Security12bTitle_c20260730"/>
            <w:bookmarkEnd w:id="18"/>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40" w:type="dxa"/>
            <w:tcBorders/>
            <w:shd w:fill="CCEEFF" w:val="clear"/>
            <w:tcMar>
              <w:bottom w:w="0" w:type="dxa"/>
            </w:tcMar>
            <w:vAlign w:val="center"/>
          </w:tcPr>
          <w:p>
            <w:pPr>
              <w:pStyle w:val="TableContents"/>
              <w:bidi w:val="0"/>
              <w:spacing w:before="0" w:after="283"/>
              <w:jc w:val="center"/>
              <w:rPr>
                <w:sz w:val="20"/>
              </w:rPr>
            </w:pPr>
            <w:bookmarkStart w:id="19" w:name="xdx_90A_edei--TradingSymbol_c20260730__2"/>
            <w:bookmarkEnd w:id="19"/>
            <w:r>
              <w:rPr>
                <w:sz w:val="20"/>
              </w:rPr>
              <w:t>SXTP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81"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6_edei--SecurityExchangeName_c2026"/>
            <w:bookmarkEnd w:id="20"/>
            <w:r>
              <w:rPr>
                <w:sz w:val="20"/>
              </w:rPr>
              <w:t>Nasdaq Stock Market LLC</w:t>
            </w:r>
          </w:p>
        </w:tc>
      </w:tr>
      <w:tr>
        <w:trPr/>
        <w:tc>
          <w:tcPr>
            <w:tcW w:w="4964" w:type="dxa"/>
            <w:tcBorders/>
            <w:shd w:fill="FFFFFF" w:val="clear"/>
            <w:tcMar>
              <w:bottom w:w="0" w:type="dxa"/>
            </w:tcMar>
            <w:vAlign w:val="center"/>
          </w:tcPr>
          <w:p>
            <w:pPr>
              <w:pStyle w:val="TableContents"/>
              <w:bidi w:val="0"/>
              <w:spacing w:before="0" w:after="283"/>
              <w:jc w:val="center"/>
              <w:rPr>
                <w:sz w:val="20"/>
              </w:rPr>
            </w:pPr>
            <w:bookmarkStart w:id="21" w:name="xdx_90F_edei--Security12bTitle_c20260730"/>
            <w:bookmarkEnd w:id="21"/>
            <w:r>
              <w:rPr>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40" w:type="dxa"/>
            <w:tcBorders/>
            <w:shd w:fill="FFFFFF" w:val="clear"/>
            <w:tcMar>
              <w:bottom w:w="0" w:type="dxa"/>
            </w:tcMar>
            <w:vAlign w:val="center"/>
          </w:tcPr>
          <w:p>
            <w:pPr>
              <w:pStyle w:val="TableContents"/>
              <w:bidi w:val="0"/>
              <w:spacing w:before="0" w:after="283"/>
              <w:jc w:val="center"/>
              <w:rPr>
                <w:sz w:val="20"/>
              </w:rPr>
            </w:pPr>
            <w:bookmarkStart w:id="22" w:name="xdx_90A_edei--TradingSymbol_c20260730__2"/>
            <w:bookmarkEnd w:id="22"/>
            <w:r>
              <w:rPr>
                <w:sz w:val="20"/>
              </w:rPr>
              <w:t>SXTPW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81"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4_edei--SecurityExchangeName_c2026"/>
            <w:bookmarkEnd w:id="23"/>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5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60 Degrees Pharmaceuticals, Inc. (the “Company”) entered into a Securities Purchase Agreement (the “Purchase Agreement”) with certain institutional investors (the “Purchasers”), pursuant to which the Company agreed to issue and sell in a private placement offering (the “Private Placement”) an aggregate of (i) 191,571 shares of its common stock, par value $0.0001 per share (the “Common Stock”) at a purchase price of $1.74 per share and associated Common Warrants (as defined below), (ii) pre-funded warrants to purchase up to 383,142 shares of Common Stock (the “Pre-funded Warrants”) at a purchase price of $1.739 per Pre-funded Warrant and associated Common Warrants, (iii) series A warrants to purchase up to 574,413 shares of Common Stock (“Series A Warrants”) and (iv) series B warrants to purchase up to 574,413 shares of Common Stock (“Series B Warrants” and, collectively with Series A Warrants, the “Common Warrants”) at a combined per share purchase price of $1.74 per share, provided that the purchase price per Pre-funded Warrant was the per share purchase price minus $0.001, for gross proceeds of approximately $1.0 million, before the deduction of placement agent fees and offering expenses. The closing of the Private Placement occurred on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were sold, at the Purchaser’s election, to such Purchaser whose purchase of shares of Common Stock in the Private Placement would otherwise result in such Purchaser, together with its affiliates and certain related parties, beneficially own more than 4.99% (or, at such Purchaser’s option upon issuance 9.99%) of the Company’s outstanding Common Stock immediately following the consummation of the Private Placement. The Pre-Funded Warrants have an exercise price of $0.001 per share, will become exercisable upon issuance and remain exercisable until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have an exercise price of $1.49 per share and will be exercisable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Warrants will expire five (5) years from the effective date of the registration statement covering the resale of the shares issuable upon exercise of thereof (the “Effective Date”) and the Series B Warrants will expire twenty-four (24) months from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Common Warrant or Pre-funded Warrant will not have the right to exercise any portion of its warrants if the holder, together with its affiliates, would beneficially own in excess of 4.99% (or 9.99% at the election of the holder prior to the date of issuance) of the number of shares of Common Stock outstanding immediately after giving effect to such exercise (the “Beneficial Ownership Limitation”); provided, however, that upon sixty (61) days’ prior notice to the Company, the holder may increase or decrease the Beneficial Ownership Limitation, provided that in no event shall the Beneficial Ownership Limitation exceed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intends to use the proceeds from the Private Placement of approximately $1.0 million in gross proceeds, before deducting the placement agent’s fees and other offering expenses payable by the Company, and excluding the proceeds, if any, from the exercise of the Pre-funded Warrants and Common Warrants, for working capital, general operations and the Company’s research and development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 (“Placement Agent”) acted as the exclusive placement agent in connection with the Private Placement under an engagement letter, dated as of August 30, 2024, as amended on September 3, 2024, January 24, 2025, April 22, 2025, May 28, 2025, December 9, 2025, and July 22, 2026, by and between the Company and the Placement Agent (the “Engagement Letter”). Pursuant to the Engagement Letter, the Company agreed to pay the Placement Agent a cash fee equal to 7.5% of the aggregate gross proceeds of the Private Placement and a management fee of 1.0% of the aggregate gross proceeds of the Private Placement. The Company also agreed to reimburse the Placement Agent $25,000 for non-accountable expenses and $25,000 for certain accountable expenses, including legal fees and other out-of-pocket expenses. The Company also issued to the Placement Agent (or its designees) warrants (the “Placement Agent Warrants”) to purchase up to 43,103 shares of Common Stock. The Placement Agent Warrants have an exercise price equal to $2.175 per share and are exercisable beginning on the issuance date for a period ending five (5) years from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Common Warrants and Placement Agent Warrants and the shares of our Common Stock issuable upon the exercise of the Pre-funded Warrants, Common Warrants and Placement Agent Warrants have not been registered under the Securities Act of 1933, as amended (the “Securities Act”), were not offered pursuant to a registration statement and were offered pursuant to the exemption provided in Section 4(a)(2) under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indemnify the Placement Agent against certain liabilities relating to or arising out of the Placement Agent’s activities under the Engagement Letter and to contribute to payments that the Placement Agent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with the Purchasers, pursuant to which, among other things, the Company is required to prepare and file with the Securities and Exchange Commission (the “SEC”) one or more registration statements to register for resale the shares of Common Stock issuable upon exercise of the Common Warrants and the Pre-funded Warrants. The Company is required to use best efforts to have such registration statement(s) (collectively, the “Registration Statement”) declared effective as promptly as possible thereafter, and in any event no later than 45 days following July 30, 2026, or, in the event of a “full review” by the SEC, 75 days following the date such additional Registration Statement is required to be filed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has been filed as an exhibit to this Current Report on Form 8-K to provide investors and stockholders with information regarding its terms. It is not intended to provide any other information about the parties to the Purchase Agreement, or any of their respective affiliates. The representations, warranties and covenants in the Purchase Agreement were made only for the purposes of such agreements and as of specified dates. The representations and warranties may have been made for the purposes of allocating contractual risk between the parties to the Purchase Agreement instead of establishing these matters as facts and may be subject to standards of materiality applicable to the parties that differ from those applicable to investors. Investors are not third-party beneficiaries under the Purchase Agreement. Accordingly, the representations, warranties and covenants may not accurately represent the current state of the Company’s affairs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Registration Rights Agreement, the Pre-funded Warrants, the Common Warrants and the Placement Agent Warrants are subject to and qualified in their entirety by reference to the full text of the agreements, copies of which (or forms thereof) are attached hereto as Exhibits 10.1, 10.2, 10.3, 10.4 and 10.5, respectively,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about the Private Placement and the agreements related thereto is hereby incorporated by reference into this Item 3.02. Based in part upon the representations of the Purchasers in the Securities Purchase Agreement, the offering and sale of the securities issued in the Private Placement is exempt from registration under Section 4(a)(2) of the Securities Act, Rule 506 of Regulation D promulgated under the Securities Act and corresponding provisions of state securities or “blue sky”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the Company issued a press release announcing the pricing of Private Placement. The full text of the press release is attached as Exhibit 99.1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filed herewith:</w:t>
      </w:r>
    </w:p>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sz w:val="20"/>
              </w:rPr>
            </w:pPr>
            <w:r>
              <w:rPr>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980" w:type="dxa"/>
            <w:tcBorders/>
            <w:shd w:fill="CCEEFF" w:val="clear"/>
            <w:tcMar>
              <w:bottom w:w="0" w:type="dxa"/>
            </w:tcMar>
            <w:vAlign w:val="center"/>
          </w:tcPr>
          <w:p>
            <w:pPr>
              <w:pStyle w:val="TableContents"/>
              <w:bidi w:val="0"/>
              <w:spacing w:before="0" w:after="283"/>
              <w:jc w:val="both"/>
              <w:rPr>
                <w:sz w:val="20"/>
              </w:rPr>
            </w:pPr>
            <w:r>
              <w:rPr>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026001ex10-1.htm">
              <w:r>
                <w:rPr>
                  <w:rStyle w:val="InternetLink"/>
                  <w:sz w:val="20"/>
                </w:rPr>
                <w:t>Form of Securities Purchase Agreement</w:t>
              </w:r>
            </w:hyperlink>
          </w:p>
        </w:tc>
      </w:tr>
      <w:tr>
        <w:trPr/>
        <w:tc>
          <w:tcPr>
            <w:tcW w:w="980" w:type="dxa"/>
            <w:tcBorders/>
            <w:shd w:fill="FFFFFF" w:val="clear"/>
            <w:tcMar>
              <w:bottom w:w="0" w:type="dxa"/>
            </w:tcMar>
            <w:vAlign w:val="center"/>
          </w:tcPr>
          <w:p>
            <w:pPr>
              <w:pStyle w:val="TableContents"/>
              <w:bidi w:val="0"/>
              <w:spacing w:before="0" w:after="283"/>
              <w:jc w:val="both"/>
              <w:rPr>
                <w:sz w:val="20"/>
              </w:rPr>
            </w:pPr>
            <w:r>
              <w:rPr>
                <w:sz w:val="20"/>
              </w:rPr>
              <w:t>10.2</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30" w:type="dxa"/>
            <w:tcBorders/>
            <w:shd w:fill="FFFFFF" w:val="clear"/>
            <w:tcMar>
              <w:bottom w:w="0" w:type="dxa"/>
            </w:tcMar>
            <w:vAlign w:val="center"/>
          </w:tcPr>
          <w:p>
            <w:pPr>
              <w:pStyle w:val="TableContents"/>
              <w:bidi w:val="0"/>
              <w:spacing w:before="0" w:after="283"/>
              <w:jc w:val="left"/>
              <w:rPr/>
            </w:pPr>
            <w:hyperlink w:anchor="ea030026001ex10-2.htm">
              <w:r>
                <w:rPr>
                  <w:rStyle w:val="InternetLink"/>
                  <w:sz w:val="20"/>
                </w:rPr>
                <w:t>Form of Registration Rights Agreement</w:t>
              </w:r>
            </w:hyperlink>
          </w:p>
        </w:tc>
      </w:tr>
      <w:tr>
        <w:trPr/>
        <w:tc>
          <w:tcPr>
            <w:tcW w:w="980" w:type="dxa"/>
            <w:tcBorders/>
            <w:shd w:fill="CCEEFF" w:val="clear"/>
            <w:tcMar>
              <w:bottom w:w="0" w:type="dxa"/>
            </w:tcMar>
            <w:vAlign w:val="center"/>
          </w:tcPr>
          <w:p>
            <w:pPr>
              <w:pStyle w:val="TableContents"/>
              <w:bidi w:val="0"/>
              <w:spacing w:before="0" w:after="283"/>
              <w:jc w:val="both"/>
              <w:rPr>
                <w:sz w:val="20"/>
              </w:rPr>
            </w:pPr>
            <w:r>
              <w:rPr>
                <w:sz w:val="20"/>
              </w:rPr>
              <w:t>10.3</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026001ex10-3.htm">
              <w:r>
                <w:rPr>
                  <w:rStyle w:val="InternetLink"/>
                  <w:sz w:val="20"/>
                </w:rPr>
                <w:t>Form of Pre-funded Warrant</w:t>
              </w:r>
            </w:hyperlink>
          </w:p>
        </w:tc>
      </w:tr>
      <w:tr>
        <w:trPr/>
        <w:tc>
          <w:tcPr>
            <w:tcW w:w="980"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30" w:type="dxa"/>
            <w:tcBorders/>
            <w:shd w:fill="FFFFFF" w:val="clear"/>
            <w:tcMar>
              <w:bottom w:w="0" w:type="dxa"/>
            </w:tcMar>
            <w:vAlign w:val="center"/>
          </w:tcPr>
          <w:p>
            <w:pPr>
              <w:pStyle w:val="TableContents"/>
              <w:bidi w:val="0"/>
              <w:spacing w:before="0" w:after="283"/>
              <w:jc w:val="left"/>
              <w:rPr/>
            </w:pPr>
            <w:hyperlink w:anchor="ea030026001ex10-4.htm">
              <w:r>
                <w:rPr>
                  <w:rStyle w:val="InternetLink"/>
                  <w:sz w:val="20"/>
                </w:rPr>
                <w:t>Form of Series A/B Warrants</w:t>
              </w:r>
            </w:hyperlink>
          </w:p>
        </w:tc>
      </w:tr>
      <w:tr>
        <w:trPr/>
        <w:tc>
          <w:tcPr>
            <w:tcW w:w="980" w:type="dxa"/>
            <w:tcBorders/>
            <w:shd w:fill="CCEEFF" w:val="clear"/>
            <w:tcMar>
              <w:bottom w:w="0" w:type="dxa"/>
            </w:tcMar>
            <w:vAlign w:val="center"/>
          </w:tcPr>
          <w:p>
            <w:pPr>
              <w:pStyle w:val="TableContents"/>
              <w:bidi w:val="0"/>
              <w:spacing w:before="0" w:after="283"/>
              <w:jc w:val="both"/>
              <w:rPr>
                <w:sz w:val="20"/>
              </w:rPr>
            </w:pPr>
            <w:r>
              <w:rPr>
                <w:sz w:val="20"/>
              </w:rPr>
              <w:t>10.5</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026001ex10-5.htm">
              <w:r>
                <w:rPr>
                  <w:rStyle w:val="InternetLink"/>
                  <w:sz w:val="20"/>
                </w:rPr>
                <w:t>Form of Placement Agent Warrant</w:t>
              </w:r>
            </w:hyperlink>
          </w:p>
        </w:tc>
      </w:tr>
      <w:tr>
        <w:trPr/>
        <w:tc>
          <w:tcPr>
            <w:tcW w:w="980" w:type="dxa"/>
            <w:tcBorders/>
            <w:shd w:fill="FFFFFF" w:val="clear"/>
            <w:tcMar>
              <w:bottom w:w="0" w:type="dxa"/>
            </w:tcMar>
            <w:vAlign w:val="center"/>
          </w:tcPr>
          <w:p>
            <w:pPr>
              <w:pStyle w:val="TableContents"/>
              <w:bidi w:val="0"/>
              <w:spacing w:before="0" w:after="283"/>
              <w:jc w:val="both"/>
              <w:rPr>
                <w:sz w:val="20"/>
              </w:rPr>
            </w:pPr>
            <w:r>
              <w:rPr>
                <w:sz w:val="20"/>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30" w:type="dxa"/>
            <w:tcBorders/>
            <w:shd w:fill="FFFFFF" w:val="clear"/>
            <w:tcMar>
              <w:bottom w:w="0" w:type="dxa"/>
            </w:tcMar>
            <w:vAlign w:val="center"/>
          </w:tcPr>
          <w:p>
            <w:pPr>
              <w:pStyle w:val="TableContents"/>
              <w:bidi w:val="0"/>
              <w:spacing w:before="0" w:after="283"/>
              <w:jc w:val="left"/>
              <w:rPr/>
            </w:pPr>
            <w:hyperlink w:anchor="ea030026001ex99-1.htm">
              <w:r>
                <w:rPr>
                  <w:rStyle w:val="InternetLink"/>
                  <w:sz w:val="20"/>
                </w:rPr>
                <w:t>Press Release dated July 30, 2026</w:t>
              </w:r>
            </w:hyperlink>
          </w:p>
        </w:tc>
      </w:tr>
      <w:tr>
        <w:trPr/>
        <w:tc>
          <w:tcPr>
            <w:tcW w:w="980"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30"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1760"/>
        <w:gridCol w:w="596"/>
        <w:gridCol w:w="3128"/>
      </w:tblGrid>
      <w:tr>
        <w:trPr/>
        <w:tc>
          <w:tcPr>
            <w:tcW w:w="1760"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b/>
                <w:sz w:val="20"/>
              </w:rPr>
            </w:pPr>
            <w:r>
              <w:rPr>
                <w:b/>
                <w:sz w:val="20"/>
              </w:rPr>
              <w:t>60 DEGREES PHARMACEUTICALS, INC.</w:t>
            </w:r>
          </w:p>
        </w:tc>
      </w:tr>
      <w:tr>
        <w:trPr/>
        <w:tc>
          <w:tcPr>
            <w:tcW w:w="1760"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4, 2026</w:t>
            </w:r>
          </w:p>
        </w:tc>
        <w:tc>
          <w:tcPr>
            <w:tcW w:w="596" w:type="dxa"/>
            <w:tcBorders/>
            <w:vAlign w:val="center"/>
          </w:tcPr>
          <w:p>
            <w:pPr>
              <w:pStyle w:val="TableContents"/>
              <w:bidi w:val="0"/>
              <w:spacing w:before="0" w:after="283"/>
              <w:jc w:val="left"/>
              <w:rPr>
                <w:sz w:val="20"/>
              </w:rPr>
            </w:pPr>
            <w:r>
              <w:rPr>
                <w:sz w:val="20"/>
              </w:rPr>
              <w:t>By:</w:t>
            </w:r>
          </w:p>
        </w:tc>
        <w:tc>
          <w:tcPr>
            <w:tcW w:w="3128"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 xml:space="preserve">/s/ Geoffrey Dow </w:t>
            </w:r>
          </w:p>
        </w:tc>
      </w:tr>
      <w:tr>
        <w:trPr/>
        <w:tc>
          <w:tcPr>
            <w:tcW w:w="17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sz w:val="20"/>
              </w:rPr>
            </w:pPr>
            <w:r>
              <w:rPr>
                <w:sz w:val="20"/>
              </w:rPr>
              <w:t xml:space="preserve">Name: </w:t>
            </w:r>
          </w:p>
        </w:tc>
        <w:tc>
          <w:tcPr>
            <w:tcW w:w="3128" w:type="dxa"/>
            <w:tcBorders/>
            <w:vAlign w:val="center"/>
          </w:tcPr>
          <w:p>
            <w:pPr>
              <w:pStyle w:val="TableContents"/>
              <w:bidi w:val="0"/>
              <w:spacing w:before="0" w:after="283"/>
              <w:jc w:val="left"/>
              <w:rPr>
                <w:sz w:val="20"/>
              </w:rPr>
            </w:pPr>
            <w:r>
              <w:rPr>
                <w:sz w:val="20"/>
              </w:rPr>
              <w:t xml:space="preserve">Geoffrey Dow </w:t>
            </w:r>
          </w:p>
        </w:tc>
      </w:tr>
      <w:tr>
        <w:trPr/>
        <w:tc>
          <w:tcPr>
            <w:tcW w:w="17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sz w:val="20"/>
              </w:rPr>
            </w:pPr>
            <w:r>
              <w:rPr>
                <w:sz w:val="20"/>
              </w:rPr>
              <w:t>Title:</w:t>
            </w:r>
          </w:p>
        </w:tc>
        <w:tc>
          <w:tcPr>
            <w:tcW w:w="3128" w:type="dxa"/>
            <w:tcBorders/>
            <w:vAlign w:val="center"/>
          </w:tcPr>
          <w:p>
            <w:pPr>
              <w:pStyle w:val="TableContents"/>
              <w:bidi w:val="0"/>
              <w:spacing w:before="0" w:after="283"/>
              <w:jc w:val="left"/>
              <w:rPr>
                <w:sz w:val="20"/>
              </w:rPr>
            </w:pPr>
            <w:r>
              <w:rPr>
                <w:sz w:val="20"/>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026001ex10-1.htm"/>
      <w:bookmarkStart w:id="27" w:name="ksea030026001ex101"/>
      <w:bookmarkEnd w:id="26"/>
      <w:bookmarkEnd w:id="27"/>
      <w:r>
        <w:rPr>
          <w:rFonts w:ascii="Times New Roman;Times;Serif" w:hAnsi="Times New Roman;Times;Serif"/>
          <w:b/>
          <w:i w:val="false"/>
          <w:caps w:val="false"/>
          <w:smallCaps w:val="false"/>
          <w:sz w:val="20"/>
        </w:rPr>
        <w:t>Exhibit 10.1</w:t>
      </w:r>
      <w:r>
        <w:br w:type="page"/>
      </w:r>
    </w:p>
    <w:p>
      <w:pPr>
        <w:pStyle w:val="TextBody"/>
        <w:bidi w:val="0"/>
        <w:spacing w:before="0" w:after="0"/>
        <w:ind w:left="720" w:right="0" w:hanging="720"/>
        <w:jc w:val="center"/>
        <w:rPr>
          <w:caps/>
        </w:rPr>
      </w:pPr>
      <w:r>
        <w:rPr>
          <w:caps/>
        </w:rPr>
        <w:t> </w:t>
      </w:r>
    </w:p>
    <w:p>
      <w:pPr>
        <w:pStyle w:val="TextBody"/>
        <w:bidi w:val="0"/>
        <w:spacing w:before="0" w:after="0"/>
        <w:ind w:left="720" w:right="0" w:hanging="72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effective as of July [___], 2026, between 60 DEGREES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Section 4(a)(2) of the Securities Act (as defined below), and/or Rule 506 of Regulation D promulgated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3.1(rr)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BSA/PATRIOT Act</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3.2(h)</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Warrants</w:t>
      </w:r>
      <w:r>
        <w:rPr>
          <w:rFonts w:ascii="Times New Roman;Times;Serif" w:hAnsi="Times New Roman;Times;Serif"/>
          <w:b w:val="false"/>
          <w:i w:val="false"/>
          <w:caps w:val="false"/>
          <w:smallCaps w:val="false"/>
          <w:sz w:val="20"/>
        </w:rPr>
        <w:t>” means, collectively, the Series A Common Warrants and the Series B Common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Warrant Shares</w:t>
      </w:r>
      <w:r>
        <w:rPr>
          <w:rFonts w:ascii="Times New Roman;Times;Serif" w:hAnsi="Times New Roman;Times;Serif"/>
          <w:b w:val="false"/>
          <w:i w:val="false"/>
          <w:caps w:val="false"/>
          <w:smallCaps w:val="false"/>
          <w:sz w:val="20"/>
        </w:rPr>
        <w:t>” means the shares of Common Stock issuable upon exercise of the Common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Sichenzia Ross Ference Carmel LLP, with offices located at 1185 Avenue of the Americas, 31st Floor, New York, New York 10036.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DRS</w:t>
      </w:r>
      <w:r>
        <w:rPr>
          <w:rFonts w:ascii="Times New Roman;Times;Serif" w:hAnsi="Times New Roman;Times;Serif"/>
          <w:b w:val="false"/>
          <w:i w:val="false"/>
          <w:caps w:val="false"/>
          <w:smallCaps w:val="false"/>
          <w:sz w:val="20"/>
        </w:rPr>
        <w:t>” means The Direct Registration System.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earliest of the date that (a) the initial Registration Statement registering for resale all Shares and Warrant Shares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means Continental Stock Transfer &amp; Trust Company, with offices at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10004.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means the escrow agreement entered into, by and among the Company, the Escrow Agent and the Placement Agent pursuant to which the Purchasers shall deposit Subscription Amounts with the Escrow Agent to be applied to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xml:space="preserve">” means the issuance of (i) shares of Common Stock, restricted stock units, or options including the shares of Common Stock underlying the restricted stock units or options, to employees, officers, directors, or consultants of the Company pursuant to any stock or option plan or arrangement duly adopted for such purpose, by a majority of the non-employee members of the Board of Directors or a majority of the members of a committee of non-employee directors established for such purpose for services rendered to the Company, provided, however, that any securities issued to consultants of the Company shall be issued as “restricted securities” (as defined in Rule 144) and carry no registration rights that require or permit the filing of any registration statement in connection therewith during the prohibition period in Section 4.12(a) herein, (ii) warrants to the Placement Agent in connection with the transactions pursuant to this Agreement and any shares of Common Stock upon exercise of the warrants to the Placement Agent, if applicable, and/or shares of Common Stock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customary anti-dilution provisions (such as stock split) contained therein as disclosed in the SEC Reports and the Prospectus Supplement) or to extend the term of such securities, (iii) securities issued pursuant to mergers,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(iv) securities for settlement of outstanding payables or liabilities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securities are issued as “restricted securities” (as defined in Rule 144) and carry no registration rights that require or permit the filing of any registration statement in connection therewith during the prohibition period in Section 4.12(a)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shall have the meaning ascribed to such term in Section 3.1(ll).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shall have the meaning ascribed to such term in Section 3.1(ll).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shall have the meaning ascribed to such term in Section 3.1(rr).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3.1(bb).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3.1(nn)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shall have the meaning ascribed to such term in Section 4.1(c).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3.1(ss)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Non-cooperative Jurisdiction</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3.2(i)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3.1(pp)</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$[__],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Pharmaceutical Product</w:t>
      </w:r>
      <w:r>
        <w:rPr>
          <w:rFonts w:ascii="Times New Roman;Times;Serif" w:hAnsi="Times New Roman;Times;Serif"/>
          <w:b w:val="false"/>
          <w:i w:val="false"/>
          <w:caps w:val="false"/>
          <w:smallCaps w:val="false"/>
          <w:sz w:val="20"/>
        </w:rPr>
        <w:t>” shall have the meaning ascribed to such term in Section 3.1(ll).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H.C. Wainwright &amp; Co., LLC.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means the shares of Common Stock issuable upon exercise of the Pre-Funded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Information Failure</w:t>
      </w:r>
      <w:r>
        <w:rPr>
          <w:rFonts w:ascii="Times New Roman;Times;Serif" w:hAnsi="Times New Roman;Times;Serif"/>
          <w:b w:val="false"/>
          <w:i w:val="false"/>
          <w:caps w:val="false"/>
          <w:smallCaps w:val="false"/>
          <w:sz w:val="20"/>
        </w:rPr>
        <w:t>” shall have the meaning ascribed to such term in Section 4.2(b).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shall have the meaning ascribed to such term in Section 4.2(b).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hereof, among the Company and the Purchasers,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by the Purchasers of the Shares and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Warrants and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Common Warrants</w:t>
      </w:r>
      <w:r>
        <w:rPr>
          <w:rFonts w:ascii="Times New Roman;Times;Serif" w:hAnsi="Times New Roman;Times;Serif"/>
          <w:b w:val="false"/>
          <w:i w:val="false"/>
          <w:caps w:val="false"/>
          <w:smallCaps w:val="false"/>
          <w:sz w:val="20"/>
        </w:rPr>
        <w:t xml:space="preserve">” means, collectively, the Series A Common Stock purchase warrants delivered to the Purchasers at the Closing in accordance with Section 2.2(a) hereof, which Series A Common Warrants shall be exercisable on and after the Stockholder Approval Date and have a term of exercise equal to [___] years from the initial exercise date, in the form of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Common Warrants</w:t>
      </w:r>
      <w:r>
        <w:rPr>
          <w:rFonts w:ascii="Times New Roman;Times;Serif" w:hAnsi="Times New Roman;Times;Serif"/>
          <w:b w:val="false"/>
          <w:i w:val="false"/>
          <w:caps w:val="false"/>
          <w:smallCaps w:val="false"/>
          <w:sz w:val="20"/>
        </w:rPr>
        <w:t xml:space="preserve">” means, collectively, the Series B Common Stock purchase warrants delivered to the Purchasers at the Closing in accordance with Section 2.2(a) hereof, which Series B Common Warrants shall be exercisable on and after the Stockholder Approval Date and have a term of exercise equal to [___] months from the initial exercise date, in the form of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 but excluding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Shell Bank</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3.2(h)</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means such approval as may be required by the applicable rules and regulations of The Nasdaq Capital Market (or any successor entity) from the stockholders of the Company with respect to the issuance of all of the Common Warrants and the Common Warrant Shares upon exercise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Stockholder Approval Date</w:t>
      </w:r>
      <w:r>
        <w:rPr>
          <w:rFonts w:ascii="Times New Roman;Times;Serif" w:hAnsi="Times New Roman;Times;Serif"/>
          <w:b w:val="false"/>
          <w:i w:val="false"/>
          <w:caps w:val="false"/>
          <w:smallCaps w:val="false"/>
          <w:sz w:val="20"/>
        </w:rPr>
        <w:t>” means the date on which Stockholder Approval is received and deemed effective under Delaware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Pre-Funded Warrants (if applicable) and Common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any subsidiary of the Company as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xml:space="preserve"> of the Disclosure Schedules,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the Registration Rights Agreement, the Escrow Agreement, all exhibits and schedules thereto and hereto and any other documents or agreements executed in connection with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Equity Stock Transfer, LLC, the current transfer agent of the Company, with a mailing address of 237 West 37th Street, Suite 602, New York, NY 10018,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4.12(b).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collectively, the Common Warrants and the Pre-Funded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collectively, the Common Warrant Shares and the Pre-Funded Warrant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PURCHASE AND SALE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sell, and the Purchasers, severally and not jointly, agree to purchase, an aggregate of approximately $[___] million of Shares and Common Warrants;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 shall deliver to the Escrow Agent, via wire transfer, immediately available funds equal to such Purchaser’s Subscription Amount as set forth on the signature page hereto executed by such Purchaser. The Company shall deliver to each Purchaser its respective Shares, Pre-Funded Warrants (if any) and Common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Company Counsel or such other location (including remotely by electronic transmission).</w:t>
      </w:r>
    </w:p>
    <w:p>
      <w:pPr>
        <w:pStyle w:val="TextBody"/>
        <w:bidi w:val="0"/>
        <w:spacing w:before="0" w:after="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legal opinion of Company Counsel, directed to the Placement Agent and the Purchasers, in form and substance reasonably acceptable to the Placement Agent and Purchasers;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have provided each Purchaser with the Escrow Agent’s wire instructions;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copy of the irrevocable instructions to the Transfer Agent instructing the Transfer Agent to deliver on an expedited basis a certificate evidencing a number of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minus $0.001, with an exercise price equal to $0.001 per share of Common Stock, subject to adjustment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Series A Common Warrant registered in the name of such Purchaser to purchase up to a number of shares of Common Stock equal to [__]% of the sum of such Purchaser’s Shares and Pre-Funded Warrant Shares, with an exercise price equal to $[__] per share of Common Stock, subject to adjustment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Series B Common Warrant registered in the name of such Purchaser to purchase up to a number of shares of Common Stock equal to [__]% of the sum of such Purchaser’s Shares and Pre-Funded Warrant Shares, with an exercise price equal to $[___] per share of Common Stock, subject to adjustment therein;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Registration Rights Agreement duly executed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or the Escrow Agent, as applicable, the following: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Escrow Agent, such Purchaser’s Subscription Amount by wire transfer to the account specified in writing by the Escrow Agent;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Registration Rights Agreement duly executed by such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pStyle w:val="TextBody"/>
        <w:bidi w:val="0"/>
        <w:spacing w:before="0" w:after="0"/>
        <w:ind w:left="72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All of the direct and indirect subsidiaries of the Company are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change in the market price or trading volume of the Common Stock alone shall not be deemed, in and itself, to constitute a Material Adverse Effect. No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(iv) the filing of Form D with the Commission, (v) such filings as are required to be made under applicable state securities laws, and (vi) [the Stockholder Approval]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which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[other than the Stockholder Approval].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Securities contemplated by this Agreement or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3.1(j)</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which, if there were an unfavorable decision, would individually or in the aggregate, have resulted in or reasonably be expected to result in a Material Adverse Effect. None of the Actions set forth on </w:t>
      </w:r>
      <w:r>
        <w:rPr>
          <w:rFonts w:ascii="Times New Roman;Times;Serif" w:hAnsi="Times New Roman;Times;Serif"/>
          <w:b w:val="false"/>
          <w:i w:val="false"/>
          <w:caps w:val="false"/>
          <w:smallCaps w:val="false"/>
          <w:sz w:val="20"/>
          <w:u w:val="single"/>
        </w:rPr>
        <w:t>Schedule 3.1(j)</w:t>
      </w:r>
      <w:r>
        <w:rPr>
          <w:rFonts w:ascii="Times New Roman;Times;Serif" w:hAnsi="Times New Roman;Times;Serif"/>
          <w:b w:val="false"/>
          <w:i w:val="false"/>
          <w:caps w:val="false"/>
          <w:smallCaps w:val="false"/>
          <w:sz w:val="20"/>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3.1(r)</w:t>
      </w:r>
      <w:r>
        <w:rPr>
          <w:rFonts w:ascii="Times New Roman;Times;Serif" w:hAnsi="Times New Roman;Times;Serif"/>
          <w:b w:val="false"/>
          <w:i w:val="false"/>
          <w:caps w:val="false"/>
          <w:smallCaps w:val="false"/>
          <w:sz w:val="20"/>
        </w:rPr>
        <w:t>, none of the executive officers or directors of the Company or any Subsidiary and, to the knowledge of the Company, none of the employees of the Company or any Subsidiary is presently a party to any transaction with the Company or any Subsidiary (other than for services as employees, executive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executive officer, director or such employee or, to the knowledge of the Company, any entity in which any executive officer, director, or any such employee has a substantial interest or is an officer, director, trustee, stockholder, member or partner, in each case in excess of One Hundred Thousand Dollars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for compensation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As long as the Securities remain outstanding, the Company shall use its reasonable best efforts to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Other than to each of the Purchasers pursuant to the Registration Rights Agreement, no Person has any right to cause the Company or any Subsidiary to effect the registration under the Securities Act of any securities of the Company or any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w:t>
      </w:r>
      <w:r>
        <w:rPr>
          <w:rFonts w:ascii="Times New Roman;Times;Serif" w:hAnsi="Times New Roman;Times;Serif"/>
          <w:b w:val="false"/>
          <w:i w:val="false"/>
          <w:caps w:val="false"/>
          <w:smallCaps w:val="false"/>
          <w:sz w:val="20"/>
          <w:u w:val="single"/>
        </w:rPr>
        <w:t>Schedule 3.1(x)</w:t>
      </w:r>
      <w:r>
        <w:rPr>
          <w:rFonts w:ascii="Times New Roman;Times;Serif" w:hAnsi="Times New Roman;Times;Serif"/>
          <w:b w:val="false"/>
          <w:i w:val="false"/>
          <w:caps w:val="false"/>
          <w:smallCaps w:val="false"/>
          <w:sz w:val="20"/>
        </w:rPr>
        <w:t xml:space="preserve">,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on </w:t>
      </w:r>
      <w:r>
        <w:rPr>
          <w:rFonts w:ascii="Times New Roman;Times;Serif" w:hAnsi="Times New Roman;Times;Serif"/>
          <w:b w:val="false"/>
          <w:i w:val="false"/>
          <w:caps w:val="false"/>
          <w:smallCaps w:val="false"/>
          <w:sz w:val="20"/>
          <w:u w:val="single"/>
        </w:rPr>
        <w:t>Schedule 3.1(x)</w:t>
      </w:r>
      <w:r>
        <w:rPr>
          <w:rFonts w:ascii="Times New Roman;Times;Serif" w:hAnsi="Times New Roman;Times;Serif"/>
          <w:b w:val="false"/>
          <w:i w:val="false"/>
          <w:caps w:val="false"/>
          <w:smallCaps w:val="false"/>
          <w:sz w:val="20"/>
        </w:rPr>
        <w: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w:t>
      </w:r>
      <w:r>
        <w:rPr>
          <w:rFonts w:ascii="Times New Roman;Times;Serif" w:hAnsi="Times New Roman;Times;Serif"/>
          <w:b w:val="false"/>
          <w:i w:val="false"/>
          <w:caps w:val="false"/>
          <w:smallCaps w:val="false"/>
          <w:sz w:val="20"/>
          <w:u w:val="single"/>
        </w:rPr>
        <w:t>Schedule 3.1(bb)</w:t>
      </w:r>
      <w:r>
        <w:rPr>
          <w:rFonts w:ascii="Times New Roman;Times;Serif" w:hAnsi="Times New Roman;Times;Serif"/>
          <w:b w:val="false"/>
          <w:i w:val="false"/>
          <w:caps w:val="false"/>
          <w:smallCaps w:val="false"/>
          <w:sz w:val="20"/>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Fifty Thousand Dollars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One Hundred Thousand Dollars ($100,000) due under leases required to be capitalized in accordance with GAAP. Neither the Company nor any Subsidiary is in default with respect to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RBSM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(other than the Placement Agent, as to which no representation is made)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Form S-3 Eligibility</w:t>
      </w:r>
      <w:r>
        <w:rPr>
          <w:rFonts w:ascii="Times New Roman;Times;Serif" w:hAnsi="Times New Roman;Times;Serif"/>
          <w:b w:val="false"/>
          <w:i w:val="false"/>
          <w:caps w:val="false"/>
          <w:smallCaps w:val="false"/>
          <w:sz w:val="20"/>
        </w:rPr>
        <w:t>. The Company is eligible to register the resale of the Securities for resale by the Purchaser on Form S-3 promulgated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As to each product subject to the jurisdiction of the U.S.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under the Federal Food, Drug and Cosmetic Act, as amended, and the regulations thereunder (“</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that is manufactured, packaged, labeled, tested, distributed, sold, and/or marketed by the Company or any of its Subsidiaries (each such product, a “</w:t>
      </w:r>
      <w:r>
        <w:rPr>
          <w:rFonts w:ascii="Times New Roman;Times;Serif" w:hAnsi="Times New Roman;Times;Serif"/>
          <w:b w:val="false"/>
          <w:i w:val="false"/>
          <w:caps w:val="false"/>
          <w:smallCaps w:val="false"/>
          <w:sz w:val="20"/>
          <w:u w:val="single"/>
        </w:rPr>
        <w:t>Pharmaceutical Product</w:t>
      </w:r>
      <w:r>
        <w:rPr>
          <w:rFonts w:ascii="Times New Roman;Times;Serif" w:hAnsi="Times New Roman;Times;Serif"/>
          <w:b w:val="false"/>
          <w:i w:val="false"/>
          <w:caps w:val="false"/>
          <w:smallCaps w:val="false"/>
          <w:sz w:val="20"/>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would not, individually or in the aggregate, reasonably be expected to have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that would require notification to any third party, including any governmental or regulatory authority, under applicable law;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twenty percent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val="false"/>
          <w:i w:val="false"/>
          <w:caps w:val="false"/>
          <w:smallCaps w:val="false"/>
          <w:sz w:val="20"/>
          <w:u w:val="single"/>
        </w:rPr>
        <w:t>Issuer Covered Person</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Sanctioned Persons; BSA/PATRIOT Act</w:t>
      </w:r>
      <w:r>
        <w:rPr>
          <w:rFonts w:ascii="Times New Roman;Times;Serif" w:hAnsi="Times New Roman;Times;Serif"/>
          <w:b w:val="false"/>
          <w:i w:val="false"/>
          <w:caps w:val="false"/>
          <w:smallCaps w:val="false"/>
          <w:sz w:val="20"/>
        </w:rPr>
        <w:t>. Purchaser is not owned or controlled by or acting on behalf of (in connection with this Agreement), a Sanctioned Person. Purchaser is not an institution that accepts currency for deposit and that (i) has no physical presence in the jurisdiction in which it is incorporated or in which it is operating and (ii) is unaffiliated with a regulated financial group that is subject to consolidated supervision (a “</w:t>
      </w:r>
      <w:r>
        <w:rPr>
          <w:rFonts w:ascii="Times New Roman;Times;Serif" w:hAnsi="Times New Roman;Times;Serif"/>
          <w:b w:val="false"/>
          <w:i w:val="false"/>
          <w:caps w:val="false"/>
          <w:smallCaps w:val="false"/>
          <w:sz w:val="20"/>
          <w:u w:val="single"/>
        </w:rPr>
        <w:t>Shell Bank</w:t>
      </w:r>
      <w:r>
        <w:rPr>
          <w:rFonts w:ascii="Times New Roman;Times;Serif" w:hAnsi="Times New Roman;Times;Serif"/>
          <w:b w:val="false"/>
          <w:i w:val="false"/>
          <w:caps w:val="false"/>
          <w:smallCaps w:val="false"/>
          <w:sz w:val="20"/>
        </w:rPr>
        <w:t>”) or providing banking services to a Shell Bank. Purchaser represents that if it is a financial institution subject to the Bank Secrecy Act (31 U.S.C. Section 5311 et seq.), as amended by the USA PATRIOT Act of 2001 and its implementing regulations (collectively, the “</w:t>
      </w:r>
      <w:r>
        <w:rPr>
          <w:rFonts w:ascii="Times New Roman;Times;Serif" w:hAnsi="Times New Roman;Times;Serif"/>
          <w:b w:val="false"/>
          <w:i w:val="false"/>
          <w:caps w:val="false"/>
          <w:smallCaps w:val="false"/>
          <w:sz w:val="20"/>
          <w:u w:val="single"/>
        </w:rPr>
        <w:t>BSA/PATRIOT Act</w:t>
      </w:r>
      <w:r>
        <w:rPr>
          <w:rFonts w:ascii="Times New Roman;Times;Serif" w:hAnsi="Times New Roman;Times;Serif"/>
          <w:b w:val="false"/>
          <w:i w:val="false"/>
          <w:caps w:val="false"/>
          <w:smallCaps w:val="false"/>
          <w:sz w:val="20"/>
        </w:rPr>
        <w:t>”), that Purchaser maintains policies and procedures reasonably designed to comply with applicable obligations under the BSA/PATRIOT Act. Purchaser also represents that, to the extent required by applicable law, it maintains, either directly or through the use of a third-party administrator, policies, and procedures reasonably designed for the screening of any investors in the Purchaser against Sanctions-related lists of blocked or restricted persons. Purchaser further represents and warrants that (A) the funds held by Purchaser and used to purchase the Securities were not directly or indirectly derived from or related to any activities that may contravene U.S. federal, state, or non-U.S. anti-money laundering, anti-corruption, or Sanctions laws and regulations or activities that may otherwise be deemed criminal and (B) any returns from the Purchaser’s investment will not be used to finance any illegal activities. For purposes of this Agreement, “Sanctioned Person” means at any time any person or entity with whom dealings are restricted, prohibited, or sanctionable under any Sanctions (as defined below), including as a result of being: (I) listed on any Sanctions-related list of designated or blocked or restricted persons; (II) that is a national of, the government of, or any agency or instrumentality of the government of, or resident in, or organized under the laws of, a country or territory that is the target of comprehensive Sanctions from time to time (as of the date of this Agreement, Cuba, Iran, North Korea, Syria, and the Crimea region); or (III) a relationship of ownership, control, or agency with any of the foregoing. “Sanctions” means those trade, economic and financial sanctions laws, regulations, embargoes, and restrictive measures (in each case having the force of law) administered, enacted, or enforced from time to time by (1) the United States (including without limitation the U.S. Department of the Treasury, Office of Foreign Assets Control, the U.S. Department of State, and the U.S. Department of Commerce), (2) the European Union and enforced by its member states, (3) the United Nations, and (4) the United Kingdom.</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Non-cooperative Jurisdiction</w:t>
      </w:r>
      <w:r>
        <w:rPr>
          <w:rFonts w:ascii="Times New Roman;Times;Serif" w:hAnsi="Times New Roman;Times;Serif"/>
          <w:b w:val="false"/>
          <w:i w:val="false"/>
          <w:caps w:val="false"/>
          <w:smallCaps w:val="false"/>
          <w:sz w:val="20"/>
        </w:rPr>
        <w:t>. Purchaser is not owned or controlled by or acting on behalf of (in connection with this Agreement), a person or entity resident in, or whose funds used to purchase the Securities are transferred from or through, a country, territory, or entity that (i) has been designated as non-cooperative with international anti-money laundering or counter terrorist financing principles or procedures by the United States or by an intergovernmental group or organization, such as the Financial Action Task Force, of which the United States is a member; (ii) is the subject of an advisory issued by the Financial Crimes Enforcement Network of the U.S. Department of the Treasury; or (iii) has been designated by the Secretary of the Treasury under Section 311 of the USA PATRIOT Act as warranting special measures due to money laundering concerns (any such country or territory, a “</w:t>
      </w:r>
      <w:r>
        <w:rPr>
          <w:rFonts w:ascii="Times New Roman;Times;Serif" w:hAnsi="Times New Roman;Times;Serif"/>
          <w:b w:val="false"/>
          <w:i w:val="false"/>
          <w:caps w:val="false"/>
          <w:smallCaps w:val="false"/>
          <w:sz w:val="20"/>
          <w:u w:val="single"/>
        </w:rPr>
        <w:t>Non-cooperative Jurisdiction</w:t>
      </w:r>
      <w:r>
        <w:rPr>
          <w:rFonts w:ascii="Times New Roman;Times;Serif" w:hAnsi="Times New Roman;Times;Serif"/>
          <w:b w:val="false"/>
          <w:i w:val="false"/>
          <w:caps w:val="false"/>
          <w:smallCaps w:val="false"/>
          <w:sz w:val="20"/>
        </w:rPr>
        <w:t>”), or an entity or individual that resides or has a place of business in, or is organized under the laws of, a Non-cooperative Jurisdiction.</w:t>
      </w:r>
    </w:p>
    <w:p>
      <w:pPr>
        <w:pStyle w:val="TextBody"/>
        <w:bidi w:val="0"/>
        <w:spacing w:before="0" w:after="0"/>
        <w:ind w:left="420" w:right="0" w:firstLine="10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Such Purchaser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br/>
        <w:t>OTHER AGREEMENTS OF THE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may only be disposed of in compliance with state and federal securities laws. In connection with any transfer of the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bidi w:val="0"/>
        <w:spacing w:before="0" w:after="0"/>
        <w:ind w:left="900" w:right="0" w:firstLine="720"/>
        <w:jc w:val="both"/>
        <w:rPr>
          <w:caps w:val="false"/>
          <w:smallCaps w:val="false"/>
        </w:rPr>
      </w:pPr>
      <w:r>
        <w:rPr>
          <w:caps w:val="false"/>
          <w:smallCaps w:val="false"/>
        </w:rPr>
        <w:t> </w:t>
      </w:r>
    </w:p>
    <w:p>
      <w:pPr>
        <w:pStyle w:val="TextBody"/>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agree to the imprinting, so long as is required by this Section 4.1, of a legend on any of the Securities in the following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Times;Serif" w:hAnsi="Times New Roman;Times;Serif"/>
          <w:b w:val="false"/>
          <w:i w:val="false"/>
          <w:caps w:val="false"/>
          <w:smallCaps w:val="false"/>
          <w:sz w:val="20"/>
          <w:u w:val="single"/>
        </w:rPr>
        <w:t>Buy-In Price</w:t>
      </w:r>
      <w:r>
        <w:rPr>
          <w:rFonts w:ascii="Times New Roman;Times;Serif" w:hAnsi="Times New Roman;Times;Serif"/>
          <w:b w:val="false"/>
          <w:i w:val="false"/>
          <w:caps w:val="false"/>
          <w:smallCaps w:val="false"/>
          <w:sz w:val="20"/>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Section 4(d).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earlier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Times;Serif" w:hAnsi="Times New Roman;Times;Serif"/>
          <w:b w:val="false"/>
          <w:i w:val="false"/>
          <w:caps w:val="false"/>
          <w:smallCaps w:val="false"/>
          <w:sz w:val="20"/>
          <w:u w:val="single"/>
        </w:rPr>
        <w:t>Public Information Failure</w:t>
      </w:r>
      <w:r>
        <w:rPr>
          <w:rFonts w:ascii="Times New Roman;Times;Serif" w:hAnsi="Times New Roman;Times;Serif"/>
          <w:b w:val="false"/>
          <w:i w:val="false"/>
          <w:caps w:val="false"/>
          <w:smallCaps w:val="false"/>
          <w:sz w:val="20"/>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Subscription Amount of such Purchaser’s Securities on the day of a Public Information Failure and on every thirtieth (30th) day (pro rated for periods totaling less than thirty (30)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rFonts w:ascii="Times New Roman;Times;Serif" w:hAnsi="Times New Roman;Times;Serif"/>
          <w:b w:val="false"/>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4.4 </w:t>
      </w:r>
      <w:r>
        <w:rPr>
          <w:rFonts w:ascii="Times New Roman;Times;Serif" w:hAnsi="Times New Roman;Times;Serif"/>
          <w:b w:val="false"/>
          <w:i w:val="false"/>
          <w:caps w:val="false"/>
          <w:smallCaps w:val="false"/>
          <w:strike w:val="false"/>
          <w:dstrike w:val="false"/>
          <w:sz w:val="20"/>
          <w:u w:val="single"/>
          <w:effect w:val="none"/>
        </w:rPr>
        <w:t>Securities Laws Disclosure; Publicity</w:t>
      </w:r>
      <w:r>
        <w:rPr>
          <w:rFonts w:ascii="Times New Roman;Times;Serif" w:hAnsi="Times New Roman;Times;Serif"/>
          <w:b w:val="false"/>
          <w:i w:val="false"/>
          <w:caps w:val="false"/>
          <w:smallCaps w:val="false"/>
          <w:strike w:val="false"/>
          <w:dstrike w:val="false"/>
          <w:sz w:val="20"/>
          <w:u w:val="none"/>
          <w:effect w:val="none"/>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or by issuing a press release containing such material non-public information.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4.7</w:t>
      </w:r>
      <w:r>
        <w:rPr>
          <w:rFonts w:ascii="Times New Roman;Times;Serif" w:hAnsi="Times New Roman;Times;Serif"/>
          <w:b w:val="false"/>
          <w:i w:val="false"/>
          <w:caps w:val="false"/>
          <w:smallCaps w:val="false"/>
          <w:sz w:val="20"/>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xml:space="preserve">. The Company hereby agrees to use commercially reasonable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Notwithstanding the foregoing,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not apply in the event that the Company consummates: any transaction or series of related transactions as a result of which the Company (or any surviving entity) ceases to be a public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[RESERVED]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thirty (30) days following the Effective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 or filing a registration statement on Form S-8 in connection with any employee compensation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the one (1) year anniversary of the Effective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(other than in connection with a stock split or stock dividend or similar event)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facility, whereby the Company may issue securities at a future determined price, regardless of whether shares pursuant to such agreement have actually been issued and regardless of whether such agreement is subsequently canceled;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six (6) months after the Effective Date, the entry into and/or issuance of shares of Common Stock in an “at-the-market” facility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4.12 shall not apply in respect of an Exempt Issuance, except that no Variable Rate Transaction shall be an Exempt Issuance.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Capital Changes</w:t>
      </w:r>
      <w:r>
        <w:rPr>
          <w:rFonts w:ascii="Times New Roman;Times;Serif" w:hAnsi="Times New Roman;Times;Serif"/>
          <w:b w:val="false"/>
          <w:i w:val="false"/>
          <w:caps w:val="false"/>
          <w:smallCaps w:val="false"/>
          <w:sz w:val="20"/>
        </w:rPr>
        <w:t>. Until the one (1) year anniversary of the Effective Date, the Company shall not undertake a reverse or forward stock split or reclassification of the Common Stock without the prior written consent of the Purchasers holding a majority in interest of the Shares, other than a reverse stock split that is required, in the good faith determination of the Board of Directors, to maintain the listing of the Common Stock on the Trading Market.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If required,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To the extent required under the applicable rules and regulations of The Nasdaq Capital Market (or any successor entity), the Company shall hold an annual or special meeting of stockholders on or prior to the date that is ninety (90) days following the Closing Date for the purpose of obtaining the Stockholder Approval, with the recommendation of the Company’s Board of Directors that such proposals are approved, and the Company shall solicit proxies from its stockholders in connection therewith in the same manner as all other management proposals in such proxy statement and all management-appointed proxyholders shall vote their proxies in favor of such proposals. If the Company does not obtain Stockholder Approval at the first meeting, the Company shall call a meeting every ninety (90) days thereafter to seek Stockholder Approval until the earlier of the date on which Stockholder Approval is obtained or the Common Warrants are no longer outstanding. Each Purchaser covenants that if such Purchaser holds any Shares or Pre-Funded Warrant Shares as of the date of such meeting, such Purchaser shall not vote such Shares or Pre-Funded Warrant Shares on the proposal for Stockholder Approval at such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or by issuing a press release containing such material non-public information.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of an exercise of a Warrant, the applicable Purchaser shall be required to return any shares of Common Stock subject to any such rescinded exercise notice concurrently (if such shares were delivered to the applicable Purchaser)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caps w:val="false"/>
          <w:smallCaps w:val="false"/>
        </w:rPr>
      </w:pPr>
      <w:r>
        <w:rPr>
          <w:caps w:val="false"/>
          <w:smallCaps w:val="false"/>
          <w:strike w:val="false"/>
          <w:dstrike w:val="false"/>
          <w:u w:val="none"/>
          <w:effect w:val="none"/>
        </w:rPr>
        <w:t> </w:t>
      </w:r>
      <w:r>
        <w:rPr>
          <w:rFonts w:ascii="Times New Roman;Times;Serif" w:hAnsi="Times New Roman;Times;Serif"/>
          <w:b w:val="false"/>
          <w:i w:val="false"/>
          <w:caps w:val="false"/>
          <w:smallCaps w:val="false"/>
          <w:sz w:val="20"/>
        </w:rPr>
        <w:t>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6684" w:type="dxa"/>
        <w:jc w:val="left"/>
        <w:tblInd w:w="0" w:type="dxa"/>
        <w:tblLayout w:type="fixed"/>
        <w:tblCellMar>
          <w:top w:w="0" w:type="dxa"/>
          <w:left w:w="0" w:type="dxa"/>
          <w:bottom w:w="0" w:type="dxa"/>
          <w:right w:w="0" w:type="dxa"/>
        </w:tblCellMar>
      </w:tblPr>
      <w:tblGrid>
        <w:gridCol w:w="809"/>
        <w:gridCol w:w="1490"/>
        <w:gridCol w:w="2430"/>
        <w:gridCol w:w="60"/>
        <w:gridCol w:w="1895"/>
      </w:tblGrid>
      <w:tr>
        <w:trPr/>
        <w:tc>
          <w:tcPr>
            <w:tcW w:w="4729"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60 DEGREES PHARMACEUTICALS, INC.</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u w:val="single"/>
              </w:rPr>
            </w:pPr>
            <w:r>
              <w:rPr>
                <w:u w:val="single"/>
              </w:rPr>
              <w:t>Address for Notice:</w:t>
            </w:r>
          </w:p>
        </w:tc>
      </w:tr>
      <w:tr>
        <w:trPr/>
        <w:tc>
          <w:tcPr>
            <w:tcW w:w="809"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809"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8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9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809"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w:t>
            </w:r>
          </w:p>
        </w:tc>
      </w:tr>
      <w:tr>
        <w:trPr/>
        <w:tc>
          <w:tcPr>
            <w:tcW w:w="809"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809"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4729"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 a copy to (which shall not constitute notice):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SXTP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Pre-Funded Warrants: _______________ Beneficial Ownership Blocker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4.99% or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A Common Warrants: _____________ Beneficial Ownership Blocker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4.99% or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B Common Warrants: _____________ Beneficial Ownership Blocker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4.99% or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30026001ex10-2.htm"/>
      <w:bookmarkStart w:id="29" w:name="ksea030026001ex102"/>
      <w:bookmarkEnd w:id="28"/>
      <w:bookmarkEnd w:id="29"/>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effective as of July [__], 2026, by and between 60 DEGREES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of the several purchasers signatory hereto (each such purchaser,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pursuant to the Securities Purchase Agreement, dated as of the date hereof, between the Company and each Purchaser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Purchaser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Capitalized terms used and not otherwise defined herein that are defined in the Purchase Agreement shall have the meanings given such terms in the Purchase Agreement.</w:t>
      </w:r>
      <w:r>
        <w:rPr>
          <w:rFonts w:ascii="Times New Roman;Times;Serif" w:hAnsi="Times New Roman;Times;Serif"/>
          <w:b w:val="false"/>
          <w:i w:val="false"/>
          <w:caps w:val="false"/>
          <w:smallCaps w:val="false"/>
          <w:sz w:val="20"/>
        </w:rPr>
        <w:t xml:space="preserve"> As used in this Agreement, the following terms shall have the following meanings: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Date</w:t>
      </w:r>
      <w:r>
        <w:rPr>
          <w:rFonts w:ascii="Times New Roman;Times;Serif" w:hAnsi="Times New Roman;Times;Serif"/>
          <w:b w:val="false"/>
          <w:i w:val="false"/>
          <w:caps w:val="false"/>
          <w:smallCaps w:val="false"/>
          <w:sz w:val="20"/>
        </w:rPr>
        <w:t>” means, with respect to the Initial Registration Statement required to be filed hereunder, the forty-fifth (45th) calendar day following the date hereof (or, in the event of a “full review” by the Commission, the seventy-fifth (75th) calendar day following the date hereof) and with respect to any additional Registration Statements which may be required pursuant to Section 2(c) or Section 3(c), the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an additional Registration Statement is required to be filed hereunder (or, in the event of a “full review” by the Commission, the 75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such additional Registration Statement is required to be filed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 provided, further, that in the event of a U.S. federal government shutdown, the Effectiveness Date shall be tolled by the same amount of days that the Commission remains closed for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shall have the meaning set forth in Section 2(d).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shall have the meaning set forth in Section 2(d).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means, with respect to the Initial Registration Statement required hereunder, the fifteenth (15th) calendar day following the date hereof and, with respect to any additional Registration Statements which may be required pursuant to Section 2(c) or Section 3(c), the earliest practicable date on which the Company is permitted by SEC Guidance to file such additional Registration Statement related to the Registrable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means the holder or holders, as the case may be, from time to time of Registrable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means the initial Registration Statement filed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as of any date of determination, (a) all Shares, (b) all Warrant Shares then issued and issuable upon exercise of the Warrants (assuming on such date the Warrants are exercised in full without regard to any exercise limitations therein), (c) any additional shares of Common Stock issued and issuable in connection with any anti-dilution provisions in the Warrants (without giving effect to any limitations on exercise set forth in the Warrants) and (d) any securities issued or then issuable upon any stock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Guidance</w:t>
      </w:r>
      <w:r>
        <w:rPr>
          <w:rFonts w:ascii="Times New Roman;Times;Serif" w:hAnsi="Times New Roman;Times;Serif"/>
          <w:b w:val="false"/>
          <w:i w:val="false"/>
          <w:caps w:val="false"/>
          <w:smallCaps w:val="false"/>
          <w:sz w:val="20"/>
        </w:rPr>
        <w:t>” means (i) any publicly-available written or oral guidance of the Commission staff, or any comments, requirements or requests of the Commission staff and (ii)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or it is not advisable based on SEC Guidance,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and substantially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xml:space="preserve">” section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by a non-Affiliate of the Company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First, the Company shall reduce or eliminate any securities to be included other than Registrable Securities;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Second, the Company shall reduce Registrable Securities represented by Common Warrant Shares (applied, in the case that some Common Warrant Shares may be registered, to the Holders on a pro rata basis based on the total number of unregistered Common Warrant Shares held by such Holders);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Third, the Company shall reduce Registrable Securities represented by Shares and Pre-Funded Warrants (applied, in the case that some Shares and Pre-Funded Warrants may be registered, to the Holders on a pro rata basis based on the total number of unregistered Shares and Pre-Funded Warrants held by such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 the Initial Registration Statement is not filed on or prior to its Filing Date (if the Company files the Initial Registration Statement without affording the Holders the opportunity to review and comment on the same as required by Section 3(a) herein or the Company subsequently withdraws the filing of the Registration Statement, the Company shall be deemed to have not satisfied this clause (i) as of the Filing Date),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however, that if the Registration Statement does not allow for the resale of the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thirty (30) consecutive calendar days or more than an aggregate of forty-five (45) calendar days (which need not be consecutive calendar days) during any 12-month period (any such failure or breach being referred to as an “</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thirty (30) or forty-five (45) calendar day period, as applicable, is exceeded being referred to as “</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aggregate Subscription Amount paid by such Holder pursuant to the Purchase Agreement. The parties agree that the maximum aggregate liquidated damages payable to a Holder under this Agreement shall be twelve percent (12%) of the aggregate Subscription Amount paid by such Holder pursuant to the Purchase Agreement. If the Company fails to pay any partial liquidated damages pursuant to this Section in full within seven (7) days after the date payable, the Company will pay interest thereon at a rate of twelve (12%)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Form S-3 is not available for the registration of the resale of Registrable Securities hereunder and the form on which the Registrable Securities are registered does not permit forward incorporation by reference, the Company shall (i) register the resale of the Registrable Securities on another appropriate form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contained herein, in no event shall the Company be permitted to name any Holder or affiliate of a Holder as any underwriter without the prior written consent of such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provided that the Company shall redact any sections of such documents that may contain material non-public information unless the Holder consents in writing to receive such information and agrees to hold it in confidence.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on a date that is not less than two (2) Trading Days prior to the Filing Date or by the end of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following the date on which such Holder receives draft materials in accordance with this Section.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such notice contain any information which would constitute material, non-public information regarding the Company or any of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Furnish to each Holder, without charge, at least one (1)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requested by a Holder, cooperate with such Holder to facilitate the timely preparation and delivery of certificates or book entry statements representing Registrable Securities to be delivered to a transferee pursuant to a Registration Statement, which certificates or book-entry statements, as applicable, shall be free, to the extent permitted by the Purchase Agreement, of all restrictive legends, and to enable such Registrable Securities to be in such denominations and registered in such names as any such Holder may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use its reasonable best efforts to maintain eligibility for use of Form S-3 (or any successor form thereto or any other form on which the Registrable Securities are registered) for the registration of the resale of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are in addition to any liability that the Indemnifying Parties may have to the Indemnified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Piggyback on Registrations; Prohibition on Filing Other Registration Statements</w:t>
      </w:r>
      <w:r>
        <w:rPr>
          <w:rFonts w:ascii="Times New Roman;Times;Serif" w:hAnsi="Times New Roman;Times;Serif"/>
          <w:b w:val="false"/>
          <w:i w:val="false"/>
          <w:caps w:val="false"/>
          <w:smallCaps w:val="false"/>
          <w:sz w:val="20"/>
        </w:rPr>
        <w:t>. Except for the shares of Common Stock issuable upon exercise of the warrants issued to the Placement Agent in the transactions contemplated by the Purchase Agreement (if any),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Discontinued Disposition</w:t>
      </w:r>
      <w:r>
        <w:rPr>
          <w:rFonts w:ascii="Times New Roman;Times;Serif" w:hAnsi="Times New Roman;Times;Serif"/>
          <w:b w:val="false"/>
          <w:i w:val="false"/>
          <w:caps w:val="false"/>
          <w:smallCaps w:val="false"/>
          <w:sz w:val="20"/>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provisions of this sentence may not be amended, modified, or supplemented except in accordance with the provisions of the first sentence of this Section 6(e). No consideration shall be offered or paid to any Person to amend or consent to a waiver or modification of any provision of this Agreement unless the same consideration also is offered to all of the parties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determined in accordance with the provisions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do not constitute a part of the Agreement and shall not be deemed to limit or affect any of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Independent Nature of Holders’ Obligations and Rights</w:t>
      </w:r>
      <w:r>
        <w:rPr>
          <w:rFonts w:ascii="Times New Roman;Times;Serif" w:hAnsi="Times New Roman;Times;Serif"/>
          <w:b w:val="false"/>
          <w:i w:val="false"/>
          <w:caps w:val="false"/>
          <w:smallCaps w:val="false"/>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hanging="0"/>
        <w:jc w:val="left"/>
        <w:rPr/>
      </w:pPr>
      <w:r>
        <w:rPr>
          <w:caps w:val="false"/>
          <w:smallCaps w:val="false"/>
        </w:rPr>
        <w:t> </w:t>
      </w:r>
      <w:r>
        <w:rPr/>
        <w:t xml:space="preserve"> </w:t>
      </w:r>
    </w:p>
    <w:tbl>
      <w:tblPr>
        <w:tblW w:w="4804" w:type="dxa"/>
        <w:jc w:val="left"/>
        <w:tblInd w:w="0" w:type="dxa"/>
        <w:tblLayout w:type="fixed"/>
        <w:tblCellMar>
          <w:top w:w="0" w:type="dxa"/>
          <w:left w:w="0" w:type="dxa"/>
          <w:bottom w:w="0" w:type="dxa"/>
          <w:right w:w="0" w:type="dxa"/>
        </w:tblCellMar>
      </w:tblPr>
      <w:tblGrid>
        <w:gridCol w:w="75"/>
        <w:gridCol w:w="724"/>
        <w:gridCol w:w="1401"/>
        <w:gridCol w:w="2604"/>
      </w:tblGrid>
      <w:tr>
        <w:trPr/>
        <w:tc>
          <w:tcPr>
            <w:tcW w:w="75" w:type="dxa"/>
            <w:tcBorders/>
            <w:vAlign w:val="center"/>
          </w:tcPr>
          <w:p>
            <w:pPr>
              <w:pStyle w:val="TableContents"/>
              <w:bidi w:val="0"/>
              <w:spacing w:before="0" w:after="283"/>
              <w:jc w:val="left"/>
              <w:rPr/>
            </w:pPr>
            <w:r>
              <w:rPr/>
              <w:t> </w:t>
            </w:r>
          </w:p>
        </w:tc>
        <w:tc>
          <w:tcPr>
            <w:tcW w:w="4729"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60 DEGREES PHARMACEUTICALS, INC.</w:t>
            </w:r>
          </w:p>
        </w:tc>
      </w:tr>
      <w:tr>
        <w:trPr/>
        <w:tc>
          <w:tcPr>
            <w:tcW w:w="7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pPr>
            <w:r>
              <w:rPr/>
              <w:t> </w:t>
            </w:r>
          </w:p>
        </w:tc>
        <w:tc>
          <w:tcPr>
            <w:tcW w:w="26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00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04"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HOLDERS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OF HOLDERS TO SXTP RRA]</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Holder: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Holder</w:t>
      </w:r>
      <w:r>
        <w:rPr>
          <w:rFonts w:ascii="Times New Roman;Times;Serif" w:hAnsi="Times New Roman;Times;Serif"/>
          <w:b w:val="false"/>
          <w:i w:val="false"/>
          <w:caps w:val="false"/>
          <w:smallCaps w:val="false"/>
          <w:sz w:val="20"/>
        </w:rPr>
        <w: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(the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of the securities and any of their pledgees, assignees, transferees, donees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hanging="0"/>
        <w:jc w:val="center"/>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0" w:right="0" w:hanging="0"/>
        <w:jc w:val="center"/>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0" w:right="0" w:hanging="0"/>
        <w:jc w:val="center"/>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0" w:right="0" w:hanging="0"/>
        <w:jc w:val="center"/>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0" w:right="0" w:hanging="0"/>
        <w:jc w:val="center"/>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pPr>
            <w:r>
              <w:rPr/>
              <w:t>settlement of short sales;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transactions through broker-dealers that agree with the Selling Stockholders to sell a specified number of such securities at a stipulated price per security;</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0" w:right="0" w:hanging="0"/>
        <w:jc w:val="center"/>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a combination of any such methods of sale; or</w:t>
            </w:r>
          </w:p>
        </w:tc>
      </w:tr>
    </w:tbl>
    <w:p>
      <w:pPr>
        <w:pStyle w:val="TextBody"/>
        <w:bidi w:val="0"/>
        <w:spacing w:before="0" w:after="0"/>
        <w:ind w:left="0" w:right="0" w:hanging="0"/>
        <w:jc w:val="center"/>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if available, rather than under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2026, assuming exercise of the warrants held by the selling shareholders on that date, without regard to any limitations on exercises.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[and other warrants held by selling shareholders], a selling shareholder may not exercise [the] [any such]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pStyle w:val="TextBody"/>
        <w:bidi w:val="0"/>
        <w:spacing w:before="0" w:after="0"/>
        <w:ind w:left="0" w:right="0" w:firstLine="720"/>
        <w:jc w:val="left"/>
        <w:rPr>
          <w:caps w:val="false"/>
          <w:smallCaps w:val="false"/>
        </w:rPr>
      </w:pPr>
      <w:r>
        <w:rPr>
          <w:caps w:val="false"/>
          <w:smallCaps w:val="false"/>
        </w:rPr>
        <w:t> </w:t>
      </w:r>
    </w:p>
    <w:tbl>
      <w:tblPr>
        <w:tblW w:w="9230" w:type="dxa"/>
        <w:jc w:val="left"/>
        <w:tblInd w:w="0" w:type="dxa"/>
        <w:tblLayout w:type="fixed"/>
        <w:tblCellMar>
          <w:top w:w="0" w:type="dxa"/>
          <w:left w:w="0" w:type="dxa"/>
          <w:bottom w:w="28" w:type="dxa"/>
          <w:right w:w="0" w:type="dxa"/>
        </w:tblCellMar>
      </w:tblPr>
      <w:tblGrid>
        <w:gridCol w:w="2945"/>
        <w:gridCol w:w="60"/>
        <w:gridCol w:w="1940"/>
        <w:gridCol w:w="60"/>
        <w:gridCol w:w="2210"/>
        <w:gridCol w:w="60"/>
        <w:gridCol w:w="1955"/>
      </w:tblGrid>
      <w:tr>
        <w:trPr/>
        <w:tc>
          <w:tcPr>
            <w:tcW w:w="2945" w:type="dxa"/>
            <w:tcBorders>
              <w:bottom w:val="single" w:sz="12"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12" w:space="0" w:color="000000"/>
            </w:tcBorders>
            <w:vAlign w:val="center"/>
          </w:tcPr>
          <w:p>
            <w:pPr>
              <w:pStyle w:val="TableContents"/>
              <w:bidi w:val="0"/>
              <w:spacing w:before="0" w:after="283"/>
              <w:jc w:val="center"/>
              <w:rPr>
                <w:b/>
                <w:sz w:val="20"/>
              </w:rPr>
            </w:pPr>
            <w:r>
              <w:rPr>
                <w:b/>
                <w:sz w:val="20"/>
              </w:rPr>
              <w:t>Number of shares of</w:t>
              <w:br/>
              <w:t>Common Stock Owned</w:t>
              <w:br/>
              <w:t>Prior to Offering</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r>
              <w:rPr>
                <w:b/>
                <w:sz w:val="20"/>
              </w:rPr>
              <w:t>Maximum Number of</w:t>
              <w:br/>
              <w:t>shares of Common Stock</w:t>
              <w:br/>
              <w:t>to be Sold Pursuant to this</w:t>
              <w:br/>
              <w:t>Prospectus</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jc w:val="center"/>
              <w:rPr>
                <w:b/>
                <w:sz w:val="20"/>
              </w:rPr>
            </w:pPr>
            <w:r>
              <w:rPr>
                <w:b/>
                <w:sz w:val="20"/>
              </w:rPr>
              <w:t>Number of shares of</w:t>
              <w:br/>
              <w:t>Common Stock Owned</w:t>
              <w:br/>
              <w:t>After Offering</w:t>
            </w:r>
          </w:p>
        </w:tc>
      </w:tr>
      <w:tr>
        <w:trPr/>
        <w:tc>
          <w:tcPr>
            <w:tcW w:w="29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60 DEGREES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of common stock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of 60 Degrees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understands that the Company has filed or intends to file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registration and resale under Rule 415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the Registrable Securities, in accordance with the terms of the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of Registrable Securities hereby elects to include the Registrable Securities owned by it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1440" w:right="0" w:hanging="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2188"/>
        <w:gridCol w:w="7602"/>
      </w:tblGrid>
      <w:tr>
        <w:trPr/>
        <w:tc>
          <w:tcPr>
            <w:tcW w:w="41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b/>
              </w:rPr>
            </w:pPr>
            <w:r>
              <w:rPr>
                <w:b/>
              </w:rPr>
              <w:t>1.</w:t>
            </w:r>
          </w:p>
        </w:tc>
        <w:tc>
          <w:tcPr>
            <w:tcW w:w="7602" w:type="dxa"/>
            <w:tcBorders/>
            <w:vAlign w:val="center"/>
          </w:tcPr>
          <w:p>
            <w:pPr>
              <w:pStyle w:val="TableContents"/>
              <w:bidi w:val="0"/>
              <w:spacing w:before="0" w:after="283"/>
              <w:jc w:val="left"/>
              <w:rPr>
                <w:b/>
              </w:rPr>
            </w:pPr>
            <w:r>
              <w:rPr>
                <w:b/>
              </w:rPr>
              <w:t>Name.</w:t>
            </w:r>
          </w:p>
        </w:tc>
      </w:tr>
    </w:tbl>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3"/>
        <w:gridCol w:w="674"/>
        <w:gridCol w:w="9348"/>
      </w:tblGrid>
      <w:tr>
        <w:trPr/>
        <w:tc>
          <w:tcPr>
            <w:tcW w:w="18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pPr>
            <w:r>
              <w:rPr/>
              <w:t>(a)</w:t>
            </w:r>
          </w:p>
        </w:tc>
        <w:tc>
          <w:tcPr>
            <w:tcW w:w="9348" w:type="dxa"/>
            <w:tcBorders/>
            <w:vAlign w:val="center"/>
          </w:tcPr>
          <w:p>
            <w:pPr>
              <w:pStyle w:val="TableContents"/>
              <w:bidi w:val="0"/>
              <w:spacing w:before="0" w:after="283"/>
              <w:jc w:val="both"/>
              <w:rPr/>
            </w:pPr>
            <w:r>
              <w:rPr/>
              <w:t>Full Legal Name of Selling Stockholder</w:t>
            </w:r>
          </w:p>
        </w:tc>
      </w:tr>
      <w:tr>
        <w:trPr/>
        <w:tc>
          <w:tcPr>
            <w:tcW w:w="183"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9348"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282"/>
        <w:gridCol w:w="9849"/>
      </w:tblGrid>
      <w:tr>
        <w:trPr/>
        <w:tc>
          <w:tcPr>
            <w:tcW w:w="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283"/>
              <w:jc w:val="both"/>
              <w:rPr/>
            </w:pPr>
            <w:r>
              <w:rPr/>
              <w:t>Full Legal Name of Registered Holder (if not the same as (a) above) through which Registrable Securities are held:</w:t>
            </w:r>
          </w:p>
        </w:tc>
      </w:tr>
      <w:tr>
        <w:trPr/>
        <w:tc>
          <w:tcPr>
            <w:tcW w:w="74"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49"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236"/>
        <w:gridCol w:w="9895"/>
      </w:tblGrid>
      <w:tr>
        <w:trPr/>
        <w:tc>
          <w:tcPr>
            <w:tcW w:w="7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895" w:type="dxa"/>
            <w:tcBorders/>
            <w:vAlign w:val="center"/>
          </w:tcPr>
          <w:p>
            <w:pPr>
              <w:pStyle w:val="TableContents"/>
              <w:bidi w:val="0"/>
              <w:spacing w:before="0" w:after="283"/>
              <w:jc w:val="both"/>
              <w:rPr/>
            </w:pPr>
            <w:r>
              <w:rPr/>
              <w:t>Full Legal Name of Natural Control Person (which means a natural person who directly or indirectly alone or with others has power to vote or dispose of the securities covered by this Questionnaire):</w:t>
            </w:r>
          </w:p>
        </w:tc>
      </w:tr>
      <w:tr>
        <w:trPr/>
        <w:tc>
          <w:tcPr>
            <w:tcW w:w="74"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9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C-1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Address for Notices to Selling Stockholder:</w:t>
      </w:r>
    </w:p>
    <w:p>
      <w:pPr>
        <w:pStyle w:val="TextBody"/>
        <w:bidi w:val="0"/>
        <w:spacing w:before="0" w:after="0"/>
        <w:ind w:left="1440" w:right="0" w:hanging="1440"/>
        <w:jc w:val="left"/>
        <w:rPr>
          <w:caps w:val="false"/>
          <w:smallCaps w:val="false"/>
        </w:rPr>
      </w:pPr>
      <w:r>
        <w:rPr>
          <w:caps w:val="false"/>
          <w:smallCaps w:val="false"/>
        </w:rPr>
        <w:t> </w:t>
      </w:r>
    </w:p>
    <w:tbl>
      <w:tblPr>
        <w:tblW w:w="1040" w:type="dxa"/>
        <w:jc w:val="left"/>
        <w:tblInd w:w="0" w:type="dxa"/>
        <w:tblLayout w:type="fixed"/>
        <w:tblCellMar>
          <w:top w:w="0" w:type="dxa"/>
          <w:left w:w="0" w:type="dxa"/>
          <w:bottom w:w="28" w:type="dxa"/>
          <w:right w:w="0" w:type="dxa"/>
        </w:tblCellMar>
      </w:tblPr>
      <w:tblGrid>
        <w:gridCol w:w="965"/>
        <w:gridCol w:w="75"/>
      </w:tblGrid>
      <w:tr>
        <w:trPr/>
        <w:tc>
          <w:tcPr>
            <w:tcW w:w="1040" w:type="dxa"/>
            <w:gridSpan w:val="2"/>
            <w:tcBorders>
              <w:bottom w:val="single" w:sz="8" w:space="0" w:color="000000"/>
            </w:tcBorders>
            <w:vAlign w:val="center"/>
          </w:tcPr>
          <w:p>
            <w:pPr>
              <w:pStyle w:val="TableContents"/>
              <w:bidi w:val="0"/>
              <w:spacing w:before="0" w:after="283"/>
              <w:jc w:val="left"/>
              <w:rPr/>
            </w:pPr>
            <w:r>
              <w:rPr/>
              <w:t> </w:t>
            </w:r>
          </w:p>
        </w:tc>
      </w:tr>
      <w:tr>
        <w:trPr/>
        <w:tc>
          <w:tcPr>
            <w:tcW w:w="1040" w:type="dxa"/>
            <w:gridSpan w:val="2"/>
            <w:tcBorders>
              <w:bottom w:val="single" w:sz="8" w:space="0" w:color="000000"/>
            </w:tcBorders>
            <w:vAlign w:val="center"/>
          </w:tcPr>
          <w:p>
            <w:pPr>
              <w:pStyle w:val="TableContents"/>
              <w:bidi w:val="0"/>
              <w:spacing w:before="0" w:after="283"/>
              <w:jc w:val="left"/>
              <w:rPr/>
            </w:pPr>
            <w:r>
              <w:rPr/>
              <w:t> </w:t>
            </w:r>
          </w:p>
        </w:tc>
      </w:tr>
      <w:tr>
        <w:trPr/>
        <w:tc>
          <w:tcPr>
            <w:tcW w:w="1040" w:type="dxa"/>
            <w:gridSpan w:val="2"/>
            <w:tcBorders>
              <w:bottom w:val="single" w:sz="8" w:space="0" w:color="000000"/>
            </w:tcBorders>
            <w:vAlign w:val="center"/>
          </w:tcPr>
          <w:p>
            <w:pPr>
              <w:pStyle w:val="TableContents"/>
              <w:bidi w:val="0"/>
              <w:spacing w:before="0" w:after="283"/>
              <w:jc w:val="left"/>
              <w:rPr/>
            </w:pPr>
            <w:r>
              <w:rPr/>
              <w:t> </w:t>
            </w:r>
          </w:p>
        </w:tc>
      </w:tr>
      <w:tr>
        <w:trPr/>
        <w:tc>
          <w:tcPr>
            <w:tcW w:w="1040" w:type="dxa"/>
            <w:gridSpan w:val="2"/>
            <w:tcBorders/>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283"/>
              <w:jc w:val="left"/>
              <w:rPr>
                <w:sz w:val="20"/>
              </w:rPr>
            </w:pPr>
            <w:r>
              <w:rPr>
                <w:sz w:val="20"/>
              </w:rPr>
              <w:t>Telephone:</w:t>
            </w:r>
          </w:p>
        </w:tc>
        <w:tc>
          <w:tcPr>
            <w:tcW w:w="75" w:type="dxa"/>
            <w:tcBorders>
              <w:bottom w:val="single" w:sz="8" w:space="0" w:color="000000"/>
            </w:tcBorders>
            <w:vAlign w:val="center"/>
          </w:tcPr>
          <w:p>
            <w:pPr>
              <w:pStyle w:val="TableContents"/>
              <w:bidi w:val="0"/>
              <w:spacing w:before="0" w:after="283"/>
              <w:jc w:val="left"/>
              <w:rPr/>
            </w:pPr>
            <w:r>
              <w:rPr/>
              <w:t> </w:t>
            </w:r>
          </w:p>
        </w:tc>
      </w:tr>
    </w:tbl>
    <w:tbl>
      <w:tblPr>
        <w:tblW w:w="740" w:type="dxa"/>
        <w:jc w:val="left"/>
        <w:tblInd w:w="0" w:type="dxa"/>
        <w:tblLayout w:type="fixed"/>
        <w:tblCellMar>
          <w:top w:w="0" w:type="dxa"/>
          <w:left w:w="0" w:type="dxa"/>
          <w:bottom w:w="0" w:type="dxa"/>
          <w:right w:w="0" w:type="dxa"/>
        </w:tblCellMar>
      </w:tblPr>
      <w:tblGrid>
        <w:gridCol w:w="665"/>
        <w:gridCol w:w="75"/>
      </w:tblGrid>
      <w:tr>
        <w:trPr/>
        <w:tc>
          <w:tcPr>
            <w:tcW w:w="665" w:type="dxa"/>
            <w:tcBorders/>
            <w:vAlign w:val="center"/>
          </w:tcPr>
          <w:p>
            <w:pPr>
              <w:pStyle w:val="TableContents"/>
              <w:bidi w:val="0"/>
              <w:spacing w:before="0" w:after="283"/>
              <w:jc w:val="left"/>
              <w:rPr>
                <w:sz w:val="20"/>
              </w:rPr>
            </w:pPr>
            <w:r>
              <w:rPr>
                <w:sz w:val="20"/>
              </w:rPr>
              <w:t>E-Mail: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1400" w:type="dxa"/>
        <w:jc w:val="left"/>
        <w:tblInd w:w="0" w:type="dxa"/>
        <w:tblLayout w:type="fixed"/>
        <w:tblCellMar>
          <w:top w:w="0" w:type="dxa"/>
          <w:left w:w="0" w:type="dxa"/>
          <w:bottom w:w="0" w:type="dxa"/>
          <w:right w:w="0" w:type="dxa"/>
        </w:tblCellMar>
      </w:tblPr>
      <w:tblGrid>
        <w:gridCol w:w="1325"/>
        <w:gridCol w:w="75"/>
      </w:tblGrid>
      <w:tr>
        <w:trPr/>
        <w:tc>
          <w:tcPr>
            <w:tcW w:w="1325" w:type="dxa"/>
            <w:tcBorders/>
            <w:vAlign w:val="center"/>
          </w:tcPr>
          <w:p>
            <w:pPr>
              <w:pStyle w:val="TableContents"/>
              <w:bidi w:val="0"/>
              <w:spacing w:before="0" w:after="283"/>
              <w:jc w:val="left"/>
              <w:rPr>
                <w:sz w:val="20"/>
              </w:rPr>
            </w:pPr>
            <w:r>
              <w:rPr>
                <w:sz w:val="20"/>
              </w:rPr>
              <w:t>Contact Person:</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Broker-Dealer Status:</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033"/>
        <w:gridCol w:w="9030"/>
      </w:tblGrid>
      <w:tr>
        <w:trPr/>
        <w:tc>
          <w:tcPr>
            <w:tcW w:w="14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283"/>
              <w:jc w:val="both"/>
              <w:rPr/>
            </w:pPr>
            <w:r>
              <w:rPr/>
              <w:t>Are you a broker-dealer?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If “yes” to Section 3(a), did you receive your Registrable Securities as compensation for investment banking services to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7"/>
        <w:gridCol w:w="9640"/>
      </w:tblGrid>
      <w:tr>
        <w:trPr/>
        <w:tc>
          <w:tcPr>
            <w:tcW w:w="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pPr>
            <w:r>
              <w:rPr/>
              <w:t>Note:</w:t>
            </w:r>
          </w:p>
        </w:tc>
        <w:tc>
          <w:tcPr>
            <w:tcW w:w="9640" w:type="dxa"/>
            <w:tcBorders/>
            <w:vAlign w:val="center"/>
          </w:tcPr>
          <w:p>
            <w:pPr>
              <w:pStyle w:val="TableContents"/>
              <w:bidi w:val="0"/>
              <w:spacing w:before="0" w:after="283"/>
              <w:jc w:val="both"/>
              <w:rPr/>
            </w:pPr>
            <w:r>
              <w:rPr/>
              <w:t>If “no” to Section 3(b), the Commission’s staff has indicated that you should be identified as an underwriter in the Registration Statement.</w:t>
            </w:r>
          </w:p>
        </w:tc>
      </w:tr>
    </w:tbl>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697"/>
        <w:gridCol w:w="9412"/>
      </w:tblGrid>
      <w:tr>
        <w:trPr/>
        <w:tc>
          <w:tcPr>
            <w:tcW w:w="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(c)</w:t>
            </w:r>
          </w:p>
        </w:tc>
        <w:tc>
          <w:tcPr>
            <w:tcW w:w="9412" w:type="dxa"/>
            <w:tcBorders/>
            <w:vAlign w:val="center"/>
          </w:tcPr>
          <w:p>
            <w:pPr>
              <w:pStyle w:val="TableContents"/>
              <w:bidi w:val="0"/>
              <w:spacing w:before="0" w:after="283"/>
              <w:jc w:val="both"/>
              <w:rPr/>
            </w:pPr>
            <w:r>
              <w:rPr/>
              <w:t>Are you an affiliate of a broker-dealer?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7"/>
        <w:gridCol w:w="9640"/>
      </w:tblGrid>
      <w:tr>
        <w:trPr/>
        <w:tc>
          <w:tcPr>
            <w:tcW w:w="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pPr>
            <w:r>
              <w:rPr/>
              <w:t>Note:</w:t>
            </w:r>
          </w:p>
        </w:tc>
        <w:tc>
          <w:tcPr>
            <w:tcW w:w="9640" w:type="dxa"/>
            <w:tcBorders/>
            <w:vAlign w:val="center"/>
          </w:tcPr>
          <w:p>
            <w:pPr>
              <w:pStyle w:val="TableContents"/>
              <w:bidi w:val="0"/>
              <w:spacing w:before="0" w:after="283"/>
              <w:jc w:val="both"/>
              <w:rPr/>
            </w:pPr>
            <w:r>
              <w:rPr/>
              <w:t>If “no” to Section 3(d), the Commission’s staff has indicated that you should be identified as an underwriter in the Registration Statement.</w:t>
            </w:r>
          </w:p>
        </w:tc>
      </w:tr>
    </w:tbl>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Beneficial Ownership of Securities of the Company Owned by the Selling Stockholder.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ind w:left="1440" w:right="0" w:hanging="144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75"/>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985" w:type="dxa"/>
            <w:tcBorders/>
            <w:vAlign w:val="center"/>
          </w:tcPr>
          <w:p>
            <w:pPr>
              <w:pStyle w:val="TableContents"/>
              <w:bidi w:val="0"/>
              <w:spacing w:before="0" w:after="283"/>
              <w:jc w:val="both"/>
              <w:rPr/>
            </w:pPr>
            <w:r>
              <w:rPr/>
              <w:t>Type and Amount of other securities beneficially owned by the Selling Stockholder: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Relationships with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tbl>
      <w:tblPr>
        <w:tblW w:w="2499" w:type="dxa"/>
        <w:jc w:val="left"/>
        <w:tblInd w:w="0" w:type="dxa"/>
        <w:tblLayout w:type="fixed"/>
        <w:tblCellMar>
          <w:top w:w="0" w:type="dxa"/>
          <w:left w:w="0" w:type="dxa"/>
          <w:bottom w:w="0" w:type="dxa"/>
          <w:right w:w="0" w:type="dxa"/>
        </w:tblCellMar>
      </w:tblPr>
      <w:tblGrid>
        <w:gridCol w:w="545"/>
        <w:gridCol w:w="60"/>
        <w:gridCol w:w="60"/>
        <w:gridCol w:w="60"/>
        <w:gridCol w:w="594"/>
        <w:gridCol w:w="1058"/>
        <w:gridCol w:w="122"/>
      </w:tblGrid>
      <w:tr>
        <w:trPr/>
        <w:tc>
          <w:tcPr>
            <w:tcW w:w="545" w:type="dxa"/>
            <w:tcBorders/>
            <w:vAlign w:val="center"/>
          </w:tcPr>
          <w:p>
            <w:pPr>
              <w:pStyle w:val="TableContents"/>
              <w:bidi w:val="0"/>
              <w:spacing w:before="0" w:after="283"/>
              <w:jc w:val="left"/>
              <w:rPr/>
            </w:pPr>
            <w:r>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Beneficial Owner:</w:t>
            </w:r>
          </w:p>
        </w:tc>
      </w:tr>
      <w:tr>
        <w:trPr/>
        <w:tc>
          <w:tcPr>
            <w:tcW w:w="605"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18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5"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22"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12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EMAIL A .PDF COPY OF THE COMPLETED AND EXECUTED NOTICE AND QUESTIONNAIRE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C-3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30026001ex10-3.htm"/>
      <w:bookmarkStart w:id="31" w:name="ksea030026001ex103"/>
      <w:bookmarkEnd w:id="30"/>
      <w:bookmarkEnd w:id="31"/>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COMMON STOCK PURCHASE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60 Degrees Pharmaceuticals, Inc.</w:t>
      </w:r>
    </w:p>
    <w:p>
      <w:pPr>
        <w:pStyle w:val="TextBody"/>
        <w:bidi w:val="0"/>
        <w:spacing w:before="0" w:after="0"/>
        <w:ind w:left="0" w:right="0" w:hanging="0"/>
        <w:jc w:val="center"/>
        <w:rPr>
          <w:caps/>
        </w:rPr>
      </w:pPr>
      <w:r>
        <w:rPr>
          <w:caps/>
        </w:rPr>
        <w:t> </w:t>
      </w:r>
    </w:p>
    <w:tbl>
      <w:tblPr>
        <w:tblW w:w="3290" w:type="dxa"/>
        <w:jc w:val="left"/>
        <w:tblInd w:w="0" w:type="dxa"/>
        <w:tblLayout w:type="fixed"/>
        <w:tblCellMar>
          <w:top w:w="0" w:type="dxa"/>
          <w:left w:w="0" w:type="dxa"/>
          <w:bottom w:w="0" w:type="dxa"/>
          <w:right w:w="0" w:type="dxa"/>
        </w:tblCellMar>
      </w:tblPr>
      <w:tblGrid>
        <w:gridCol w:w="1310"/>
        <w:gridCol w:w="245"/>
        <w:gridCol w:w="905"/>
        <w:gridCol w:w="60"/>
        <w:gridCol w:w="770"/>
      </w:tblGrid>
      <w:tr>
        <w:trPr/>
        <w:tc>
          <w:tcPr>
            <w:tcW w:w="1310" w:type="dxa"/>
            <w:tcBorders/>
            <w:vAlign w:val="center"/>
          </w:tcPr>
          <w:p>
            <w:pPr>
              <w:pStyle w:val="TableContents"/>
              <w:bidi w:val="0"/>
              <w:spacing w:before="0" w:after="283"/>
              <w:jc w:val="left"/>
              <w:rPr>
                <w:sz w:val="20"/>
              </w:rPr>
            </w:pPr>
            <w:r>
              <w:rPr>
                <w:sz w:val="20"/>
              </w:rPr>
              <w:t>Warrant Shares:</w:t>
            </w:r>
          </w:p>
        </w:tc>
        <w:tc>
          <w:tcPr>
            <w:tcW w:w="245" w:type="dxa"/>
            <w:tcBorders/>
            <w:vAlign w:val="center"/>
          </w:tcPr>
          <w:p>
            <w:pPr>
              <w:pStyle w:val="TableContents"/>
              <w:bidi w:val="0"/>
              <w:spacing w:before="0" w:after="283"/>
              <w:jc w:val="left"/>
              <w:rPr>
                <w:sz w:val="20"/>
              </w:rPr>
            </w:pPr>
            <w:r>
              <w:rPr>
                <w:sz w:val="20"/>
              </w:rPr>
              <w:t>[*]</w:t>
            </w:r>
          </w:p>
        </w:tc>
        <w:tc>
          <w:tcPr>
            <w:tcW w:w="905" w:type="dxa"/>
            <w:tcBorders/>
            <w:vAlign w:val="center"/>
          </w:tcPr>
          <w:p>
            <w:pPr>
              <w:pStyle w:val="TableContents"/>
              <w:bidi w:val="0"/>
              <w:spacing w:before="0" w:after="283"/>
              <w:jc w:val="right"/>
              <w:rPr>
                <w:sz w:val="20"/>
              </w:rPr>
            </w:pPr>
            <w:r>
              <w:rPr>
                <w:sz w:val="20"/>
              </w:rPr>
              <w:t>Issue Date: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20"/>
              </w:rPr>
            </w:pPr>
            <w:r>
              <w:rPr>
                <w:sz w:val="20"/>
              </w:rPr>
              <w:t>[*], 2026</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60"/>
        <w:gridCol w:w="1730"/>
        <w:gridCol w:w="60"/>
        <w:gridCol w:w="7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sz w:val="20"/>
              </w:rPr>
            </w:pPr>
            <w:r>
              <w:rPr>
                <w:sz w:val="20"/>
              </w:rPr>
              <w:t>Initial Exercise Date: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20"/>
              </w:rPr>
            </w:pPr>
            <w:r>
              <w:rPr>
                <w:sz w:val="20"/>
              </w:rPr>
              <w:t>[*], 2026</w:t>
            </w:r>
          </w:p>
        </w:tc>
      </w:tr>
    </w:tbl>
    <w:p>
      <w:pPr>
        <w:pStyle w:val="TextBody"/>
        <w:bidi w:val="0"/>
        <w:spacing w:before="0" w:after="0"/>
        <w:ind w:left="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60 Degrees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common stock, par value $0.0001 per share,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July [__],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Subject to the terms and conditions hereof,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applicable and specified in the attached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2070"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215"/>
        <w:gridCol w:w="9635"/>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(A)</w:t>
            </w:r>
          </w:p>
        </w:tc>
        <w:tc>
          <w:tcPr>
            <w:tcW w:w="215" w:type="dxa"/>
            <w:tcBorders/>
            <w:vAlign w:val="center"/>
          </w:tcPr>
          <w:p>
            <w:pPr>
              <w:pStyle w:val="TableContents"/>
              <w:bidi w:val="0"/>
              <w:spacing w:before="0" w:after="283"/>
              <w:jc w:val="center"/>
              <w:rPr/>
            </w:pPr>
            <w:r>
              <w:rPr/>
              <w:t>=</w:t>
            </w:r>
          </w:p>
        </w:tc>
        <w:tc>
          <w:tcPr>
            <w:tcW w:w="9635" w:type="dxa"/>
            <w:tcBorders/>
            <w:vAlign w:val="center"/>
          </w:tcPr>
          <w:p>
            <w:pPr>
              <w:pStyle w:val="TableContents"/>
              <w:bidi w:val="0"/>
              <w:spacing w:before="0" w:after="283"/>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u w:val="single"/>
              </w:rPr>
              <w:t>Bloomberg</w:t>
            </w:r>
            <w:r>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center"/>
              <w:rPr/>
            </w:pPr>
            <w:r>
              <w:rPr/>
              <w:t> </w:t>
            </w:r>
          </w:p>
        </w:tc>
        <w:tc>
          <w:tcPr>
            <w:tcW w:w="9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(B)</w:t>
            </w:r>
          </w:p>
        </w:tc>
        <w:tc>
          <w:tcPr>
            <w:tcW w:w="215" w:type="dxa"/>
            <w:tcBorders/>
            <w:vAlign w:val="center"/>
          </w:tcPr>
          <w:p>
            <w:pPr>
              <w:pStyle w:val="TableContents"/>
              <w:bidi w:val="0"/>
              <w:spacing w:before="0" w:after="283"/>
              <w:jc w:val="center"/>
              <w:rPr/>
            </w:pPr>
            <w:r>
              <w:rPr/>
              <w:t>=</w:t>
            </w:r>
          </w:p>
        </w:tc>
        <w:tc>
          <w:tcPr>
            <w:tcW w:w="9635" w:type="dxa"/>
            <w:tcBorders/>
            <w:vAlign w:val="center"/>
          </w:tcPr>
          <w:p>
            <w:pPr>
              <w:pStyle w:val="TableContents"/>
              <w:bidi w:val="0"/>
              <w:spacing w:before="0" w:after="283"/>
              <w:jc w:val="left"/>
              <w:rPr/>
            </w:pPr>
            <w:r>
              <w:rPr/>
              <w:t>the Exercise Price of this Warrant, as adjusted hereunder; and</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center"/>
              <w:rPr/>
            </w:pPr>
            <w:r>
              <w:rPr/>
              <w:t> </w:t>
            </w:r>
          </w:p>
        </w:tc>
        <w:tc>
          <w:tcPr>
            <w:tcW w:w="9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(X)</w:t>
            </w:r>
          </w:p>
        </w:tc>
        <w:tc>
          <w:tcPr>
            <w:tcW w:w="215" w:type="dxa"/>
            <w:tcBorders/>
            <w:vAlign w:val="center"/>
          </w:tcPr>
          <w:p>
            <w:pPr>
              <w:pStyle w:val="TableContents"/>
              <w:bidi w:val="0"/>
              <w:spacing w:before="0" w:after="283"/>
              <w:jc w:val="center"/>
              <w:rPr/>
            </w:pPr>
            <w:r>
              <w:rPr/>
              <w:t> </w:t>
            </w:r>
            <w:r>
              <w:rPr/>
              <w:t>=</w:t>
            </w:r>
          </w:p>
        </w:tc>
        <w:tc>
          <w:tcPr>
            <w:tcW w:w="9635" w:type="dxa"/>
            <w:tcBorders/>
            <w:vAlign w:val="center"/>
          </w:tcPr>
          <w:p>
            <w:pPr>
              <w:pStyle w:val="TableContents"/>
              <w:bidi w:val="0"/>
              <w:spacing w:before="0" w:after="283"/>
              <w:jc w:val="both"/>
              <w:rPr/>
            </w:pPr>
            <w:r>
              <w:rPr/>
              <w:t> </w:t>
            </w: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or the OTCID Basic Market (“</w:t>
      </w:r>
      <w:r>
        <w:rPr>
          <w:rFonts w:ascii="Times New Roman;Times;Serif" w:hAnsi="Times New Roman;Times;Serif"/>
          <w:b w:val="false"/>
          <w:i w:val="false"/>
          <w:caps w:val="false"/>
          <w:smallCaps w:val="false"/>
          <w:sz w:val="20"/>
          <w:u w:val="single"/>
        </w:rPr>
        <w:t>OTCID</w:t>
      </w:r>
      <w:r>
        <w:rPr>
          <w:rFonts w:ascii="Times New Roman;Times;Serif" w:hAnsi="Times New Roman;Times;Serif"/>
          <w:b w:val="false"/>
          <w:i w:val="false"/>
          <w:caps w:val="false"/>
          <w:smallCaps w:val="false"/>
          <w:sz w:val="20"/>
        </w:rPr>
        <w:t>”)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Limited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OTCQX or OTCID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(if applicable), and (ii) the number of Trading Days comprising the Standard Settlement Period, in each case (i) or (ii),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 of the number of shares of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sixty-first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while this Warrant is outstanding the Company grants, issues or sells any Common Stock Equivalents or rights to purchase stock, warrants, securities or other property pro rata to all of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(other than a stock split)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provided, however, that the Company may satisfy this notice requirement in this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by filing such notice with the Commission pursuant to a Current Report on Form 8-K, Quarterly Report on Form 10-Q or Annual Report on Form 10-K.</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other than a stock split)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(excluding any granting or issuance of rights to all of the Company’s shareholders pursuant to a shareholder rights plan),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modified, amended or waived, this Warrant may be modified or amended or the provisions hereof waived with the written consent of the Company, on the one hand, and the Holder of this Warrant,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3799" w:type="dxa"/>
        <w:jc w:val="left"/>
        <w:tblInd w:w="0" w:type="dxa"/>
        <w:tblLayout w:type="fixed"/>
        <w:tblCellMar>
          <w:top w:w="0" w:type="dxa"/>
          <w:left w:w="0" w:type="dxa"/>
          <w:bottom w:w="0" w:type="dxa"/>
          <w:right w:w="0" w:type="dxa"/>
        </w:tblCellMar>
      </w:tblPr>
      <w:tblGrid>
        <w:gridCol w:w="75"/>
        <w:gridCol w:w="735"/>
        <w:gridCol w:w="2989"/>
      </w:tblGrid>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60 Degrees Pharmaceuticals, Inc.</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20"/>
              </w:rPr>
            </w:pPr>
            <w:r>
              <w:rPr>
                <w:sz w:val="20"/>
              </w:rPr>
              <w:t>By:</w:t>
            </w:r>
          </w:p>
        </w:tc>
        <w:tc>
          <w:tcPr>
            <w:tcW w:w="298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pPr>
            <w:r>
              <w:rPr/>
              <w:t>Name: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pPr>
            <w:r>
              <w:rPr/>
              <w:t>Title:</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 OF EXERCISE</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425"/>
        <w:gridCol w:w="4730"/>
      </w:tblGrid>
      <w:tr>
        <w:trPr/>
        <w:tc>
          <w:tcPr>
            <w:tcW w:w="425" w:type="dxa"/>
            <w:tcBorders/>
            <w:vAlign w:val="center"/>
          </w:tcPr>
          <w:p>
            <w:pPr>
              <w:pStyle w:val="TableContents"/>
              <w:bidi w:val="0"/>
              <w:spacing w:before="0" w:after="283"/>
              <w:jc w:val="left"/>
              <w:rPr>
                <w:caps/>
              </w:rPr>
            </w:pPr>
            <w:r>
              <w:rPr>
                <w:caps/>
              </w:rPr>
              <w:t>To:</w:t>
            </w:r>
          </w:p>
        </w:tc>
        <w:tc>
          <w:tcPr>
            <w:tcW w:w="4730" w:type="dxa"/>
            <w:tcBorders/>
            <w:vAlign w:val="center"/>
          </w:tcPr>
          <w:p>
            <w:pPr>
              <w:pStyle w:val="TableContents"/>
              <w:bidi w:val="0"/>
              <w:spacing w:before="0" w:after="283"/>
              <w:jc w:val="both"/>
              <w:rPr>
                <w:b/>
                <w:caps/>
              </w:rPr>
            </w:pPr>
            <w:r>
              <w:rPr>
                <w:b/>
                <w:caps/>
              </w:rPr>
              <w:t>60 Degrees Pharmaceuticals,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360" w:right="0" w:firstLine="2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4340"/>
        <w:gridCol w:w="60"/>
        <w:gridCol w:w="1295"/>
      </w:tblGrid>
      <w:tr>
        <w:trPr/>
        <w:tc>
          <w:tcPr>
            <w:tcW w:w="434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top w:val="single" w:sz="12" w:space="0" w:color="000000"/>
            </w:tcBorders>
            <w:tcMar>
              <w:top w:w="28" w:type="dxa"/>
            </w:tcMar>
            <w:vAlign w:val="center"/>
          </w:tcPr>
          <w:p>
            <w:pPr>
              <w:pStyle w:val="TableContents"/>
              <w:bidi w:val="0"/>
              <w:spacing w:before="0" w:after="283"/>
              <w:jc w:val="left"/>
              <w:rPr/>
            </w:pPr>
            <w:r>
              <w:rPr/>
              <w:t>(Please Print)</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top w:val="single" w:sz="12" w:space="0" w:color="000000"/>
            </w:tcBorders>
            <w:tcMar>
              <w:top w:w="28" w:type="dxa"/>
            </w:tcMar>
            <w:vAlign w:val="center"/>
          </w:tcPr>
          <w:p>
            <w:pPr>
              <w:pStyle w:val="TableContents"/>
              <w:bidi w:val="0"/>
              <w:spacing w:before="0" w:after="283"/>
              <w:jc w:val="left"/>
              <w:rPr/>
            </w:pPr>
            <w:r>
              <w:rPr/>
              <w:t>(Please Print)</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Phone Number:</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Dated: 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Holder’s Signature: ____________________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Holder’s Address: ____________________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30026001ex10-4.htm"/>
      <w:bookmarkStart w:id="33" w:name="ksea030026001ex104"/>
      <w:bookmarkEnd w:id="32"/>
      <w:bookmarkEnd w:id="33"/>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A/SERIES B] COMMON STOCK PURCHASE WARRANT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60 Degrees Pharmaceuticals, Inc.</w:t>
      </w:r>
    </w:p>
    <w:p>
      <w:pPr>
        <w:pStyle w:val="TextBody"/>
        <w:bidi w:val="0"/>
        <w:spacing w:before="0" w:after="0"/>
        <w:ind w:left="0" w:right="0" w:hanging="0"/>
        <w:jc w:val="center"/>
        <w:rPr>
          <w:caps/>
        </w:rPr>
      </w:pPr>
      <w:r>
        <w:rPr>
          <w:caps/>
        </w:rPr>
        <w:t> </w:t>
      </w:r>
    </w:p>
    <w:tbl>
      <w:tblPr>
        <w:tblW w:w="3230" w:type="dxa"/>
        <w:jc w:val="left"/>
        <w:tblInd w:w="0" w:type="dxa"/>
        <w:tblLayout w:type="fixed"/>
        <w:tblCellMar>
          <w:top w:w="0" w:type="dxa"/>
          <w:left w:w="0" w:type="dxa"/>
          <w:bottom w:w="0" w:type="dxa"/>
          <w:right w:w="0" w:type="dxa"/>
        </w:tblCellMar>
      </w:tblPr>
      <w:tblGrid>
        <w:gridCol w:w="1310"/>
        <w:gridCol w:w="245"/>
        <w:gridCol w:w="905"/>
        <w:gridCol w:w="770"/>
      </w:tblGrid>
      <w:tr>
        <w:trPr/>
        <w:tc>
          <w:tcPr>
            <w:tcW w:w="1310" w:type="dxa"/>
            <w:tcBorders/>
            <w:vAlign w:val="center"/>
          </w:tcPr>
          <w:p>
            <w:pPr>
              <w:pStyle w:val="TableContents"/>
              <w:bidi w:val="0"/>
              <w:spacing w:before="0" w:after="283"/>
              <w:jc w:val="left"/>
              <w:rPr>
                <w:sz w:val="20"/>
              </w:rPr>
            </w:pPr>
            <w:r>
              <w:rPr>
                <w:sz w:val="20"/>
              </w:rPr>
              <w:t>Warrant Shares:</w:t>
            </w:r>
          </w:p>
        </w:tc>
        <w:tc>
          <w:tcPr>
            <w:tcW w:w="245" w:type="dxa"/>
            <w:tcBorders/>
            <w:vAlign w:val="center"/>
          </w:tcPr>
          <w:p>
            <w:pPr>
              <w:pStyle w:val="TableContents"/>
              <w:bidi w:val="0"/>
              <w:spacing w:before="0" w:after="283"/>
              <w:jc w:val="left"/>
              <w:rPr>
                <w:sz w:val="20"/>
              </w:rPr>
            </w:pPr>
            <w:r>
              <w:rPr>
                <w:sz w:val="20"/>
              </w:rPr>
              <w:t>[*]</w:t>
            </w:r>
          </w:p>
        </w:tc>
        <w:tc>
          <w:tcPr>
            <w:tcW w:w="905" w:type="dxa"/>
            <w:tcBorders/>
            <w:vAlign w:val="center"/>
          </w:tcPr>
          <w:p>
            <w:pPr>
              <w:pStyle w:val="TableContents"/>
              <w:bidi w:val="0"/>
              <w:spacing w:before="0" w:after="283"/>
              <w:jc w:val="left"/>
              <w:rPr>
                <w:sz w:val="20"/>
              </w:rPr>
            </w:pPr>
            <w:r>
              <w:rPr>
                <w:sz w:val="20"/>
              </w:rPr>
              <w:t>Issue Date:</w:t>
            </w:r>
          </w:p>
        </w:tc>
        <w:tc>
          <w:tcPr>
            <w:tcW w:w="770" w:type="dxa"/>
            <w:tcBorders/>
            <w:vAlign w:val="center"/>
          </w:tcPr>
          <w:p>
            <w:pPr>
              <w:pStyle w:val="TableContents"/>
              <w:bidi w:val="0"/>
              <w:spacing w:before="0" w:after="283"/>
              <w:jc w:val="right"/>
              <w:rPr>
                <w:sz w:val="20"/>
              </w:rPr>
            </w:pPr>
            <w:r>
              <w:rPr>
                <w:sz w:val="20"/>
              </w:rPr>
              <w:t>[*],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A/SERIES B]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[Stockholder Approval Date]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xml:space="preserve">”) and on or prior to 5:00 p.m. (New York City time) on the______________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of the Initial Exercise Date, provided that, if such date is not a Trading Day, the immediately following Trading Day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60 Degrees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xml:space="preserve">”) of the Company’s shares of Common Stock. The purchase price of one share of Common Stock under this Warrant shall be equal to the Exercise Price, as defined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as of July [__],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Subject to the terms and conditions hereof,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below is applicable and specified in the attached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8905" w:type="dxa"/>
        <w:jc w:val="left"/>
        <w:tblInd w:w="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8765" w:type="dxa"/>
            <w:tcBorders/>
            <w:vAlign w:val="center"/>
          </w:tcPr>
          <w:p>
            <w:pPr>
              <w:pStyle w:val="TableContents"/>
              <w:bidi w:val="0"/>
              <w:spacing w:before="0" w:after="283"/>
              <w:jc w:val="both"/>
              <w:rPr/>
            </w:pPr>
            <w:r>
              <w:rPr/>
              <w:t>Series A: insert: “the [__] year anniversary”; Series B: insert: “the [___] month anniversary”.</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Common Stock under this Warrant shall be </w:t>
      </w:r>
      <w:r>
        <w:rPr>
          <w:rFonts w:ascii="Times New Roman;Times;Serif" w:hAnsi="Times New Roman;Times;Serif"/>
          <w:b/>
          <w:i w:val="false"/>
          <w:caps w:val="false"/>
          <w:smallCaps w:val="false"/>
          <w:sz w:val="20"/>
        </w:rPr>
        <w:t>$[__]</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and only if at the time of exercise hereof there is no effective registration statement registering, or the prospectus contained therein is not available for the issuance or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2070"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155"/>
        <w:gridCol w:w="9695"/>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(A)</w:t>
            </w:r>
          </w:p>
        </w:tc>
        <w:tc>
          <w:tcPr>
            <w:tcW w:w="155" w:type="dxa"/>
            <w:tcBorders/>
            <w:vAlign w:val="center"/>
          </w:tcPr>
          <w:p>
            <w:pPr>
              <w:pStyle w:val="TableContents"/>
              <w:bidi w:val="0"/>
              <w:spacing w:before="0" w:after="283"/>
              <w:jc w:val="center"/>
              <w:rPr/>
            </w:pPr>
            <w:r>
              <w:rPr/>
              <w:t>=</w:t>
            </w:r>
          </w:p>
        </w:tc>
        <w:tc>
          <w:tcPr>
            <w:tcW w:w="9695" w:type="dxa"/>
            <w:tcBorders/>
            <w:vAlign w:val="center"/>
          </w:tcPr>
          <w:p>
            <w:pPr>
              <w:pStyle w:val="TableContents"/>
              <w:bidi w:val="0"/>
              <w:spacing w:before="0" w:after="283"/>
              <w:jc w:val="both"/>
              <w:rPr/>
            </w:pPr>
            <w:r>
              <w:rPr/>
              <w:t xml:space="preserve">as applicable: (i) the VWAP on the Trading Day immediately preceding the date of the applicable Notice of Exercise if such Notice of Exercise is (1) both executed and delivered pursuant to </w:t>
            </w:r>
            <w:r>
              <w:rPr>
                <w:u w:val="single"/>
              </w:rPr>
              <w:t>Section 2(a)</w:t>
            </w:r>
            <w:r>
              <w:rPr/>
              <w:t xml:space="preserve"> hereof on a day that is not a Trading Day or (2) both executed and delivered pursuant to </w:t>
            </w:r>
            <w:r>
              <w:rPr>
                <w:u w:val="single"/>
              </w:rPr>
              <w:t>Section 2(a)</w:t>
            </w:r>
            <w:r>
              <w:rPr/>
              <w:t xml:space="preserve">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u w:val="single"/>
              </w:rPr>
              <w:t>Bloomberg</w:t>
            </w:r>
            <w:r>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w:t>
            </w:r>
            <w:r>
              <w:rPr>
                <w:u w:val="single"/>
              </w:rPr>
              <w:t>Section 2(a)</w:t>
            </w:r>
            <w:r>
              <w:rPr/>
              <w:t xml:space="preserve"> hereof, or (iii) the VWAP on the date of the applicable Notice of Exercise if the date of such Notice of Exercise is a Trading Day and such Notice of Exercise is both executed and delivered pursuant to </w:t>
            </w:r>
            <w:r>
              <w:rPr>
                <w:u w:val="single"/>
              </w:rPr>
              <w:t>Section 2(a)</w:t>
            </w:r>
            <w:r>
              <w:rPr/>
              <w:t xml:space="preserve"> hereof after the close of “regular trading hours” on such Trading Day;</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center"/>
              <w:rPr/>
            </w:pPr>
            <w:r>
              <w:rPr/>
              <w:t>=</w:t>
            </w:r>
          </w:p>
        </w:tc>
        <w:tc>
          <w:tcPr>
            <w:tcW w:w="9695" w:type="dxa"/>
            <w:tcBorders/>
            <w:vAlign w:val="center"/>
          </w:tcPr>
          <w:p>
            <w:pPr>
              <w:pStyle w:val="TableContents"/>
              <w:bidi w:val="0"/>
              <w:spacing w:before="0" w:after="283"/>
              <w:jc w:val="both"/>
              <w:rPr/>
            </w:pPr>
            <w:r>
              <w:rPr/>
              <w:t> </w:t>
            </w:r>
            <w:r>
              <w:rPr/>
              <w:t>the Exercise Price of this Warrant, as adjusted hereunder; and</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center"/>
              <w:rPr/>
            </w:pPr>
            <w:r>
              <w:rPr/>
              <w:t>=</w:t>
            </w:r>
          </w:p>
        </w:tc>
        <w:tc>
          <w:tcPr>
            <w:tcW w:w="9695"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or the OTCID Basic Market (“</w:t>
      </w:r>
      <w:r>
        <w:rPr>
          <w:rFonts w:ascii="Times New Roman;Times;Serif" w:hAnsi="Times New Roman;Times;Serif"/>
          <w:b w:val="false"/>
          <w:i w:val="false"/>
          <w:caps w:val="false"/>
          <w:smallCaps w:val="false"/>
          <w:sz w:val="20"/>
          <w:u w:val="single"/>
        </w:rPr>
        <w:t>OTCID</w:t>
      </w:r>
      <w:r>
        <w:rPr>
          <w:rFonts w:ascii="Times New Roman;Times;Serif" w:hAnsi="Times New Roman;Times;Serif"/>
          <w:b w:val="false"/>
          <w:i w:val="false"/>
          <w:caps w:val="false"/>
          <w:smallCaps w:val="false"/>
          <w:sz w:val="20"/>
        </w:rPr>
        <w:t>”)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Limited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OTCQX or OTCID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(if applicable), and (ii) the number of Trading Days comprising the Standard Settlement Period, in each case (i) or (ii), after the delivery to the Company of the Notice of Exercise and provided that payment of the aggregate Exercise Price (other than in the instance of a cashless exercise) is received by the Company by such date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(5th)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xml:space="preserve">. If the Company fails to cause the Transfer Agent to transmit to the Holder the Warrant Shares pursuant to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by the Warrant Share Delivery Date, then the Holder will have the right to rescind such exercise by delivering written notice to the Company at any time prior to the delivery of such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Transfer Agent to transmit to the Holder the Warrant Shares in accordance with the provisions of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(provided that such price is on actual market terms),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obligation of the Company to pay compensation for Buy-In under this </w:t>
      </w:r>
      <w:r>
        <w:rPr>
          <w:rFonts w:ascii="Times New Roman;Times;Serif" w:hAnsi="Times New Roman;Times;Serif"/>
          <w:b w:val="false"/>
          <w:i w:val="false"/>
          <w:caps w:val="false"/>
          <w:smallCaps w:val="false"/>
          <w:sz w:val="20"/>
          <w:u w:val="single"/>
        </w:rPr>
        <w:t>Section 2(d)(iv)</w:t>
      </w:r>
      <w:r>
        <w:rPr>
          <w:rFonts w:ascii="Times New Roman;Times;Serif" w:hAnsi="Times New Roman;Times;Serif"/>
          <w:b w:val="false"/>
          <w:i w:val="false"/>
          <w:caps w:val="false"/>
          <w:smallCaps w:val="false"/>
          <w:sz w:val="20"/>
        </w:rPr>
        <w:t xml:space="preserve"> is subject to delivery by the Holder of the aggregate Exercise Price in accordance with the terms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xml:space="preserve">. The Company shall not effect any exercise of this Warrant, and a Holder shall not have the right to exercise any portion of this Warrant,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beneficial ownership shall be calculated in accordance with Section 13(d) of the Exchange Act and the rules and regulations promulgated thereunder. In addition, a determination as to any group status as contemplated above shall be determined in accordance with Section 13(d) of the Exchange Act and the rules and regulations promulgated thereunder. For purposes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be [4.99%/9.99%] of the number of shares of Common Stock outstanding immediately after giving effect to the issuance of shares of Common Stock issuable upon exercise of this Warrant. The Holder, upon written notice to the Company, may increase or decrease the Beneficial Ownership Limitation provisions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provided that the Beneficial Ownership Limitation in no event exceeds 9.99% of the number of shares of Common Stock outstanding immediately after giving effect to the issuance of shares of Common Stock upon exercise of this Warrant held by the Holder and the provisions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shall continue to apply. Any increase in the Beneficial Ownership Limitation will not be effective until the sixty-first (61st) day after such notice is delivered to the Company. The provisions of this paragraph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xml:space="preserve">. In addition to any adjustments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above, if at any time that this Warrant is outstanding the Company grants, issues or sells any Common Stock Equivalents or rights to purchase stock, warrants, securities or other property pro rata to all of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this Warrant is exercisable immediately prior to such Fundamental Transaction (without regard to any limitation in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Trading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xml:space="preserve">”) to assume in writing all of the obligations of the Company under this Warrant and the other Transaction Documents in accordance with the provisions of this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made to the nearest cent or the nearest 1/100th of a share, as the case may be. For purposes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xml:space="preserve">. Whenever the Exercise Price is adjusted pursuant to any provision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the Company shall promptly deliver to the Holder by email a notice setting forth the Exercise Price after such adjustment and any resulting adjustment to the number of Warrant Shares and setting forth a brief statement of the facts requiring such adjustment; provided, however, that the Company may satisfy the notice requirement in this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by filing such information with the Commission on its Electronic Data Gathering, Analysis, and Retrieval (EDGAR) system pursuant to a Current Report on Form 8-K, Quarterly Report on Form 10-Q or Annual Report on Form 10-K.</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other than a stock split) on the Common Stock, (B) the Company shall declare a special nonrecurring cash dividend on or a redemption of the Common Stock (excluding any granting or issuance of rights to all of the Company’s stockholders pursuant to a stockholder rights plan),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four (4)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Stockholder Approval and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Subject to compliance with any applicable securities laws and the conditions set forth in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xml:space="preserve"> hereof and to the provisions of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xml:space="preserve">.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xml:space="preserve">. This Warrant does not entitle the Holder to any voting rights, dividends or other rights as a stockholder of the Company prior to the exercise hereof as set forth in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except as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Without limiting any rights of a Holder to receive Warrant Shares on a “cashless exercise”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to receive cash payments pursuant to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2(d)(iv)</w:t>
      </w:r>
      <w:r>
        <w:rPr>
          <w:rFonts w:ascii="Times New Roman;Times;Serif" w:hAnsi="Times New Roman;Times;Serif"/>
          <w:b w:val="false"/>
          <w:i w:val="false"/>
          <w:caps w:val="false"/>
          <w:smallCaps w:val="false"/>
          <w:sz w:val="20"/>
        </w:rPr>
        <w:t xml:space="preserve">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modified, amended or waived, this Warrant may be modified or amended or the provisions hereof waived with the written consent of the Company, on the one hand, and the Holder of this Warrant,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 </w:t>
      </w:r>
    </w:p>
    <w:p>
      <w:pPr>
        <w:pStyle w:val="TextBody"/>
        <w:bidi w:val="0"/>
        <w:spacing w:before="0" w:after="0"/>
        <w:ind w:left="0" w:right="0" w:firstLine="1440"/>
        <w:jc w:val="both"/>
        <w:rPr>
          <w:caps w:val="false"/>
          <w:smallCaps w:val="false"/>
        </w:rPr>
      </w:pPr>
      <w:r>
        <w:rPr>
          <w:caps w:val="false"/>
          <w:smallCaps w:val="false"/>
        </w:rPr>
        <w:t> </w:t>
      </w:r>
    </w:p>
    <w:tbl>
      <w:tblPr>
        <w:tblW w:w="3799" w:type="dxa"/>
        <w:jc w:val="left"/>
        <w:tblInd w:w="0" w:type="dxa"/>
        <w:tblLayout w:type="fixed"/>
        <w:tblCellMar>
          <w:top w:w="0" w:type="dxa"/>
          <w:left w:w="0" w:type="dxa"/>
          <w:bottom w:w="0" w:type="dxa"/>
          <w:right w:w="0" w:type="dxa"/>
        </w:tblCellMar>
      </w:tblPr>
      <w:tblGrid>
        <w:gridCol w:w="75"/>
        <w:gridCol w:w="735"/>
        <w:gridCol w:w="2989"/>
      </w:tblGrid>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60 Degrees Pharmaceuticals, Inc.</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20"/>
              </w:rPr>
            </w:pPr>
            <w:r>
              <w:rPr>
                <w:sz w:val="20"/>
              </w:rPr>
              <w:t>By:</w:t>
            </w:r>
          </w:p>
        </w:tc>
        <w:tc>
          <w:tcPr>
            <w:tcW w:w="298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pPr>
            <w:r>
              <w:rPr/>
              <w:t>Name: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pPr>
            <w:r>
              <w:rPr/>
              <w:t>Title:</w:t>
            </w:r>
          </w:p>
        </w:tc>
      </w:tr>
    </w:tbl>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425"/>
        <w:gridCol w:w="4730"/>
      </w:tblGrid>
      <w:tr>
        <w:trPr/>
        <w:tc>
          <w:tcPr>
            <w:tcW w:w="425" w:type="dxa"/>
            <w:tcBorders/>
            <w:vAlign w:val="center"/>
          </w:tcPr>
          <w:p>
            <w:pPr>
              <w:pStyle w:val="TableContents"/>
              <w:bidi w:val="0"/>
              <w:spacing w:before="0" w:after="283"/>
              <w:jc w:val="left"/>
              <w:rPr>
                <w:caps/>
              </w:rPr>
            </w:pPr>
            <w:r>
              <w:rPr>
                <w:caps/>
              </w:rPr>
              <w:t>To:</w:t>
            </w:r>
          </w:p>
        </w:tc>
        <w:tc>
          <w:tcPr>
            <w:tcW w:w="4730" w:type="dxa"/>
            <w:tcBorders/>
            <w:vAlign w:val="center"/>
          </w:tcPr>
          <w:p>
            <w:pPr>
              <w:pStyle w:val="TableContents"/>
              <w:bidi w:val="0"/>
              <w:spacing w:before="0" w:after="283"/>
              <w:jc w:val="both"/>
              <w:rPr>
                <w:b/>
                <w:caps/>
              </w:rPr>
            </w:pPr>
            <w:r>
              <w:rPr>
                <w:b/>
                <w:caps/>
              </w:rPr>
              <w:t>60 Degrees Pharmaceuticals,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4340"/>
        <w:gridCol w:w="60"/>
        <w:gridCol w:w="1295"/>
      </w:tblGrid>
      <w:tr>
        <w:trPr/>
        <w:tc>
          <w:tcPr>
            <w:tcW w:w="434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4340"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top w:val="single" w:sz="12" w:space="0" w:color="000000"/>
            </w:tcBorders>
            <w:tcMar>
              <w:top w:w="28" w:type="dxa"/>
            </w:tcMar>
            <w:vAlign w:val="center"/>
          </w:tcPr>
          <w:p>
            <w:pPr>
              <w:pStyle w:val="TableContents"/>
              <w:bidi w:val="0"/>
              <w:spacing w:before="0" w:after="283"/>
              <w:jc w:val="left"/>
              <w:rPr/>
            </w:pPr>
            <w:r>
              <w:rPr/>
              <w:t>(Please Print)</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Phone Number:</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Dated: 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Holder’s Signature: ____________________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Holder’s Address: ____________________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030026001ex10-5.htm"/>
      <w:bookmarkStart w:id="35" w:name="ksea030026001ex105"/>
      <w:bookmarkEnd w:id="34"/>
      <w:bookmarkEnd w:id="35"/>
      <w:r>
        <w:rPr>
          <w:rFonts w:ascii="Times New Roman;Times;Serif" w:hAnsi="Times New Roman;Times;Serif"/>
          <w:b/>
          <w:i w:val="false"/>
          <w:caps w:val="false"/>
          <w:smallCaps w:val="false"/>
          <w:sz w:val="20"/>
        </w:rPr>
        <w:t>Exhibit 10.5</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 COMMON STOCK PURCHASE WARRANT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60 Degrees Pharmaceuticals, Inc.</w:t>
      </w:r>
    </w:p>
    <w:p>
      <w:pPr>
        <w:pStyle w:val="TextBody"/>
        <w:bidi w:val="0"/>
        <w:spacing w:before="0" w:after="0"/>
        <w:ind w:left="0" w:right="0" w:hanging="0"/>
        <w:jc w:val="center"/>
        <w:rPr>
          <w:caps/>
        </w:rPr>
      </w:pPr>
      <w:r>
        <w:rPr>
          <w:caps/>
        </w:rPr>
        <w:t> </w:t>
      </w:r>
    </w:p>
    <w:tbl>
      <w:tblPr>
        <w:tblW w:w="4295" w:type="dxa"/>
        <w:jc w:val="left"/>
        <w:tblInd w:w="0" w:type="dxa"/>
        <w:tblLayout w:type="fixed"/>
        <w:tblCellMar>
          <w:top w:w="0" w:type="dxa"/>
          <w:left w:w="0" w:type="dxa"/>
          <w:bottom w:w="0" w:type="dxa"/>
          <w:right w:w="0" w:type="dxa"/>
        </w:tblCellMar>
      </w:tblPr>
      <w:tblGrid>
        <w:gridCol w:w="1550"/>
        <w:gridCol w:w="290"/>
        <w:gridCol w:w="1070"/>
        <w:gridCol w:w="60"/>
        <w:gridCol w:w="1325"/>
      </w:tblGrid>
      <w:tr>
        <w:trPr/>
        <w:tc>
          <w:tcPr>
            <w:tcW w:w="1550" w:type="dxa"/>
            <w:tcBorders/>
            <w:vAlign w:val="center"/>
          </w:tcPr>
          <w:p>
            <w:pPr>
              <w:pStyle w:val="TableContents"/>
              <w:bidi w:val="0"/>
              <w:spacing w:before="0" w:after="283"/>
              <w:jc w:val="left"/>
              <w:rPr/>
            </w:pPr>
            <w:r>
              <w:rPr/>
              <w:t>Warrant Shares:</w:t>
            </w:r>
          </w:p>
        </w:tc>
        <w:tc>
          <w:tcPr>
            <w:tcW w:w="29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t>Issue Date: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July 31, 2026</w:t>
            </w:r>
          </w:p>
        </w:tc>
      </w:tr>
    </w:tbl>
    <w:p>
      <w:pPr>
        <w:pStyle w:val="TextBody"/>
        <w:bidi w:val="0"/>
        <w:spacing w:before="0" w:after="0"/>
        <w:ind w:left="0" w:right="0" w:hanging="0"/>
        <w:jc w:val="center"/>
        <w:rPr>
          <w:caps/>
        </w:rPr>
      </w:pPr>
      <w:r>
        <w:rPr>
          <w:caps/>
        </w:rPr>
        <w:t> </w:t>
      </w:r>
    </w:p>
    <w:tbl>
      <w:tblPr>
        <w:tblW w:w="3070" w:type="dxa"/>
        <w:jc w:val="left"/>
        <w:tblInd w:w="0" w:type="dxa"/>
        <w:tblLayout w:type="fixed"/>
        <w:tblCellMar>
          <w:top w:w="0" w:type="dxa"/>
          <w:left w:w="0" w:type="dxa"/>
          <w:bottom w:w="0" w:type="dxa"/>
          <w:right w:w="0" w:type="dxa"/>
        </w:tblCellMar>
      </w:tblPr>
      <w:tblGrid>
        <w:gridCol w:w="75"/>
        <w:gridCol w:w="60"/>
        <w:gridCol w:w="1730"/>
        <w:gridCol w:w="60"/>
        <w:gridCol w:w="114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Initial Exercise Date: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31,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PLACEMENT AGENT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the_ five (5) year anniversary of the Effective Date, provided that, if such date is not a Trading Day, the immediately following Trading Day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60 Degrees 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xml:space="preserve">”) of the Company’s shares of Common Stock. The purchase price of one share of Common Stock under this Warrant shall be equal to the Exercise Price, as defined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This Warrant is being issued pursuant to that certain engagement letter, dated as of August 30, 2024, as amended, by and between the Company and H.C. Wainwright &amp; 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as of July 30,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Subject to the terms and conditions hereof,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below is applicable and specified in the attached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Common Stock under this Warrant shall be </w:t>
      </w:r>
      <w:r>
        <w:rPr>
          <w:rFonts w:ascii="Times New Roman;Times;Serif" w:hAnsi="Times New Roman;Times;Serif"/>
          <w:b/>
          <w:i w:val="false"/>
          <w:caps w:val="false"/>
          <w:smallCaps w:val="false"/>
          <w:sz w:val="20"/>
        </w:rPr>
        <w:t>$2.175</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and only if at the time of exercise hereof there is no effective registration statement registering, or the prospectus contained therein is not available for the issuance or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2070"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125"/>
        <w:gridCol w:w="9785"/>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applicable: (i) the VWAP on the Trading Day immediately preceding the date of the applicable Notice of Exercise if such Notice of Exercise is (1) both executed and delivered pursuant to </w:t>
            </w:r>
            <w:r>
              <w:rPr>
                <w:rFonts w:ascii="Times New Roman;Times;Serif" w:hAnsi="Times New Roman;Times;Serif"/>
                <w:sz w:val="20"/>
                <w:u w:val="single"/>
              </w:rPr>
              <w:t>Section 2(a)</w:t>
            </w:r>
            <w:r>
              <w:rPr>
                <w:rFonts w:ascii="Times New Roman;Times;Serif" w:hAnsi="Times New Roman;Times;Serif"/>
                <w:sz w:val="20"/>
              </w:rPr>
              <w:t xml:space="preserve"> hereof on a day that is not a Trading Day or (2) both executed and delivered pursuant to </w:t>
            </w:r>
            <w:r>
              <w:rPr>
                <w:rFonts w:ascii="Times New Roman;Times;Serif" w:hAnsi="Times New Roman;Times;Serif"/>
                <w:sz w:val="20"/>
                <w:u w:val="single"/>
              </w:rPr>
              <w:t>Section 2(a)</w:t>
            </w:r>
            <w:r>
              <w:rPr>
                <w:rFonts w:ascii="Times New Roman;Times;Serif" w:hAnsi="Times New Roman;Times;Serif"/>
                <w:sz w:val="20"/>
              </w:rPr>
              <w:t xml:space="preserve">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w:t>
            </w:r>
            <w:r>
              <w:rPr>
                <w:rFonts w:ascii="Times New Roman;Times;Serif" w:hAnsi="Times New Roman;Times;Serif"/>
                <w:sz w:val="20"/>
                <w:u w:val="single"/>
              </w:rPr>
              <w:t>Section 2(a)</w:t>
            </w:r>
            <w:r>
              <w:rPr>
                <w:rFonts w:ascii="Times New Roman;Times;Serif" w:hAnsi="Times New Roman;Times;Serif"/>
                <w:sz w:val="20"/>
              </w:rPr>
              <w:t xml:space="preserve"> hereof, or (iii) the VWAP on the date of the applicable Notice of Exercise if the date of such Notice of Exercise is a Trading Day and such Notice of Exercise is both executed and delivered pursuant to </w:t>
            </w:r>
            <w:r>
              <w:rPr>
                <w:rFonts w:ascii="Times New Roman;Times;Serif" w:hAnsi="Times New Roman;Times;Serif"/>
                <w:sz w:val="20"/>
                <w:u w:val="single"/>
              </w:rPr>
              <w:t>Section 2(a)</w:t>
            </w:r>
            <w:r>
              <w:rPr>
                <w:rFonts w:ascii="Times New Roman;Times;Serif" w:hAnsi="Times New Roman;Times;Serif"/>
                <w:sz w:val="20"/>
              </w:rPr>
              <w:t xml:space="preserve"> hereof after the close of “regular trading hours” on such Trading Day;</w:t>
            </w:r>
          </w:p>
        </w:tc>
      </w:tr>
    </w:tbl>
    <w:p>
      <w:pPr>
        <w:pStyle w:val="TextBody"/>
        <w:bidi w:val="0"/>
        <w:spacing w:before="0" w:after="0"/>
        <w:ind w:left="2160" w:right="0" w:hanging="720"/>
        <w:jc w:val="both"/>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75"/>
        <w:gridCol w:w="335"/>
        <w:gridCol w:w="155"/>
        <w:gridCol w:w="582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center"/>
              <w:rPr/>
            </w:pPr>
            <w:r>
              <w:rPr/>
              <w:t>=</w:t>
            </w:r>
          </w:p>
        </w:tc>
        <w:tc>
          <w:tcPr>
            <w:tcW w:w="5825" w:type="dxa"/>
            <w:tcBorders/>
            <w:vAlign w:val="center"/>
          </w:tcPr>
          <w:p>
            <w:pPr>
              <w:pStyle w:val="TableContents"/>
              <w:bidi w:val="0"/>
              <w:spacing w:before="0" w:after="283"/>
              <w:jc w:val="both"/>
              <w:rPr/>
            </w:pPr>
            <w:r>
              <w:rPr/>
              <w:t>the Exercise Price of this Warrant, as adjusted hereunder;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155"/>
        <w:gridCol w:w="9666"/>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center"/>
              <w:rPr/>
            </w:pPr>
            <w:r>
              <w:rPr/>
              <w:t>=</w:t>
            </w:r>
          </w:p>
        </w:tc>
        <w:tc>
          <w:tcPr>
            <w:tcW w:w="9666"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shd w:fill="FFFFFF" w:val="clear"/>
        </w:rPr>
      </w:pPr>
      <w:r>
        <w:rPr>
          <w:caps w:val="false"/>
          <w:smallCaps w:val="false"/>
          <w:u w:val="single"/>
          <w:shd w:fill="FFFFFF" w:val="clear"/>
        </w:rPr>
        <w:t>“</w:t>
      </w:r>
      <w:r>
        <w:rPr>
          <w:rFonts w:ascii="Times New Roman;Times;Serif" w:hAnsi="Times New Roman;Times;Serif"/>
          <w:b w:val="false"/>
          <w:i w:val="false"/>
          <w:caps w:val="false"/>
          <w:smallCaps w:val="false"/>
          <w:sz w:val="20"/>
          <w:u w:val="single"/>
          <w:shd w:fill="FFFFFF" w:val="clear"/>
        </w:rPr>
        <w:t>Bid Price</w:t>
      </w:r>
      <w:r>
        <w:rPr>
          <w:rFonts w:ascii="Times New Roman;Times;Serif" w:hAnsi="Times New Roman;Times;Serif"/>
          <w:b w:val="false"/>
          <w:i w:val="false"/>
          <w:caps w:val="false"/>
          <w:smallCaps w:val="false"/>
          <w:sz w:val="20"/>
          <w:shd w:fill="FFFFFF" w:val="clear"/>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shd w:fill="FFFFFF" w:val="clear"/>
        </w:rPr>
        <w:t>OTCQB</w:t>
      </w:r>
      <w:r>
        <w:rPr>
          <w:rFonts w:ascii="Times New Roman;Times;Serif" w:hAnsi="Times New Roman;Times;Serif"/>
          <w:b w:val="false"/>
          <w:i w:val="false"/>
          <w:caps w:val="false"/>
          <w:smallCaps w:val="false"/>
          <w:sz w:val="20"/>
          <w:shd w:fill="FFFFFF" w:val="clear"/>
        </w:rPr>
        <w:t>”), the OTCQX Best Market (“</w:t>
      </w:r>
      <w:r>
        <w:rPr>
          <w:rFonts w:ascii="Times New Roman;Times;Serif" w:hAnsi="Times New Roman;Times;Serif"/>
          <w:b w:val="false"/>
          <w:i w:val="false"/>
          <w:caps w:val="false"/>
          <w:smallCaps w:val="false"/>
          <w:sz w:val="20"/>
          <w:u w:val="single"/>
          <w:shd w:fill="FFFFFF" w:val="clear"/>
        </w:rPr>
        <w:t>OTCQX</w:t>
      </w:r>
      <w:r>
        <w:rPr>
          <w:rFonts w:ascii="Times New Roman;Times;Serif" w:hAnsi="Times New Roman;Times;Serif"/>
          <w:b w:val="false"/>
          <w:i w:val="false"/>
          <w:caps w:val="false"/>
          <w:smallCaps w:val="false"/>
          <w:sz w:val="20"/>
          <w:shd w:fill="FFFFFF" w:val="clear"/>
        </w:rPr>
        <w:t>”) or the OTCID Basic Market (“</w:t>
      </w:r>
      <w:r>
        <w:rPr>
          <w:rFonts w:ascii="Times New Roman;Times;Serif" w:hAnsi="Times New Roman;Times;Serif"/>
          <w:b w:val="false"/>
          <w:i w:val="false"/>
          <w:caps w:val="false"/>
          <w:smallCaps w:val="false"/>
          <w:sz w:val="20"/>
          <w:u w:val="single"/>
          <w:shd w:fill="FFFFFF" w:val="clear"/>
        </w:rPr>
        <w:t>OTCID</w:t>
      </w:r>
      <w:r>
        <w:rPr>
          <w:rFonts w:ascii="Times New Roman;Times;Serif" w:hAnsi="Times New Roman;Times;Serif"/>
          <w:b w:val="false"/>
          <w:i w:val="false"/>
          <w:caps w:val="false"/>
          <w:smallCaps w:val="false"/>
          <w:sz w:val="20"/>
          <w:shd w:fill="FFFFFF" w:val="clear"/>
        </w:rPr>
        <w:t>”)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Limited Market (“</w:t>
      </w:r>
      <w:r>
        <w:rPr>
          <w:rFonts w:ascii="Times New Roman;Times;Serif" w:hAnsi="Times New Roman;Times;Serif"/>
          <w:b w:val="false"/>
          <w:i w:val="false"/>
          <w:caps w:val="false"/>
          <w:smallCaps w:val="false"/>
          <w:sz w:val="20"/>
          <w:u w:val="single"/>
          <w:shd w:fill="FFFFFF" w:val="clear"/>
        </w:rPr>
        <w:t>Pink Market</w:t>
      </w:r>
      <w:r>
        <w:rPr>
          <w:rFonts w:ascii="Times New Roman;Times;Serif" w:hAnsi="Times New Roman;Times;Serif"/>
          <w:b w:val="false"/>
          <w:i w:val="false"/>
          <w:caps w:val="false"/>
          <w:smallCaps w:val="false"/>
          <w:sz w:val="20"/>
          <w:shd w:fill="FFFFFF" w:val="clear"/>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VWAP</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OTCQX or OTCID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w:t>
      </w:r>
      <w:r>
        <w:rPr>
          <w:rFonts w:ascii="Times New Roman;Times;Serif" w:hAnsi="Times New Roman;Times;Serif"/>
          <w:b w:val="false"/>
          <w:i w:val="false"/>
          <w:caps w:val="false"/>
          <w:smallCaps w:val="false"/>
          <w:sz w:val="20"/>
          <w:u w:val="single"/>
          <w:shd w:fill="FFFFFF" w:val="clear"/>
        </w:rPr>
        <w:t>Section 2(c)</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(if applicable), and (ii) the number of Trading Days comprising the Standard Settlement Period, in each case (i) or (ii), after the delivery to the Company of the Notice of Exercise and provided that payment of the aggregate Exercise Price (other than in the instance of a cashless exercise) is received by the Company by such date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(5th)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xml:space="preserve">. If the Company fails to cause the Transfer Agent to transmit to the Holder the Warrant Shares pursuant to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by the Warrant Share Delivery Date, then the Holder will have the right to rescind such exercise by delivering written notice to the Company at any time prior to the delivery of such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Transfer Agent to transmit to the Holder the Warrant Shares in accordance with the provisions of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(provided that such price is on actual market terms),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obligation of the Company to pay compensation for Buy-In under this </w:t>
      </w:r>
      <w:r>
        <w:rPr>
          <w:rFonts w:ascii="Times New Roman;Times;Serif" w:hAnsi="Times New Roman;Times;Serif"/>
          <w:b w:val="false"/>
          <w:i w:val="false"/>
          <w:caps w:val="false"/>
          <w:smallCaps w:val="false"/>
          <w:sz w:val="20"/>
          <w:u w:val="single"/>
        </w:rPr>
        <w:t>Section 2(d)(iv)</w:t>
      </w:r>
      <w:r>
        <w:rPr>
          <w:rFonts w:ascii="Times New Roman;Times;Serif" w:hAnsi="Times New Roman;Times;Serif"/>
          <w:b w:val="false"/>
          <w:i w:val="false"/>
          <w:caps w:val="false"/>
          <w:smallCaps w:val="false"/>
          <w:sz w:val="20"/>
        </w:rPr>
        <w:t xml:space="preserve"> is subject to delivery by the Holder of the aggregate Exercise Price in accordance with the terms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xml:space="preserve">. The Company shall not effect any exercise of this Warrant, and a Holder shall not have the right to exercise any portion of this Warrant,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a number of outstanding shares of Common Stock that was provided by the Company. For purposes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be 4.99% of the number of shares of Common Stock outstanding immediately after giving effect to the issuance of shares of Common Stock issuable upon exercise of this Warrant. In addition, a determination as to any group status as contemplated above shall be determined in accordance with Section 13(d) of the Exchange Act and the rules and regulations promulgated thereunder. The Holder, upon written notice to the Company, may increase or decrease the Beneficial Ownership Limitation provisions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provided that the Beneficial Ownership Limitation in no event exceeds 9.99% of the number of shares of Common Stock outstanding immediately after giving effect to the issuance of shares of Common Stock upon exercise of this Warrant held by the Holder and the provisions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shall continue to apply. Any increase in the Beneficial Ownership Limitation will not be effective until the sixty-first (61st) day after such notice is delivered to the Company. The provisions of this paragraph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xml:space="preserve">. In addition to any adjustments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above, if at any time that this Warrant is outstanding the Company grants, issues or sells any Common Stock Equivalents or rights to purchase stock, warrants, securities or other property pro rata to all of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this Warrant is exercisable immediately prior to such Fundamental Transaction (without regard to any limitation in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Trading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xml:space="preserve">”) to assume in writing all of the obligations of the Company under this Warrant and the other Transaction Documents in accordance with the provisions of this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made to the nearest cent or the nearest 1/100th of a share, as the case may be. For purposes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xml:space="preserve">. Whenever the Exercise Price is adjusted pursuant to any provision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the Company shall promptly deliver to the Holder by email a notice setting forth the Exercise Price after such adjustment and any resulting adjustment to the number of Warrant Shares and setting forth a brief statement of the facts requiring such adjustment; provided, however, that the Company may satisfy the notice requirement in this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by filing such information with the Commission on its Electronic Data Gathering, Analysis, and Retrieval (EDGAR) system pursuant to a Current Report on Form 8-K, Quarterly Report on Form 10-Q or Annual Report on Form 10-K.</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other than a stock split) on the Common Stock, (B) the Company shall declare a special nonrecurring cash dividend on or a redemption of the Common Stock (excluding any granting or issuance of rights to all of the Company’s stockholders pursuant to a stockholder rights plan),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four (4)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Subject to compliance with any applicable securities laws and the conditions set forth in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xml:space="preserve"> hereof and to the provisions of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act as the warrant agent to the Holder.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for the benefit of the Holder.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have the right to request at any time the issuance of an ink-original warrant evidencing the ownership of this Warrant to such Holder, which shall be dated the original issue date and delivered to the address specified by the Holder within one (1) trading day upon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provides to the Company an opinion of counsel in form and substance reasonably satisfactory to the Company to the effect that the transfer of this Warrant does not require registration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xml:space="preserve">. This Warrant does not entitle the Holder to any voting rights, dividends or other rights as a stockholder of the Company prior to the exercise hereof as set forth in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except as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Without limiting any rights of a Holder to receive Warrant Shares on a “cashless exercise”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or to receive cash payments pursuant to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2(d)(iv)</w:t>
      </w:r>
      <w:r>
        <w:rPr>
          <w:rFonts w:ascii="Times New Roman;Times;Serif" w:hAnsi="Times New Roman;Times;Serif"/>
          <w:b w:val="false"/>
          <w:i w:val="false"/>
          <w:caps w:val="false"/>
          <w:smallCaps w:val="false"/>
          <w:sz w:val="20"/>
        </w:rPr>
        <w:t xml:space="preserve">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to the address for the Holder in the Warrant Register.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modified, amended or waived, this Warrant may be modified or amended or the provisions hereof waived with the written consent of the Company, on the one hand, and the Holder of this Warrant,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75"/>
        <w:gridCol w:w="917"/>
        <w:gridCol w:w="1776"/>
        <w:gridCol w:w="2035"/>
      </w:tblGrid>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60 DEGREES PHARMACEUTICALS, INC.</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pPr>
            <w:r>
              <w:rPr/>
              <w:t> </w:t>
            </w:r>
          </w:p>
        </w:tc>
        <w:tc>
          <w:tcPr>
            <w:tcW w:w="2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11"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425"/>
        <w:gridCol w:w="4730"/>
      </w:tblGrid>
      <w:tr>
        <w:trPr/>
        <w:tc>
          <w:tcPr>
            <w:tcW w:w="425" w:type="dxa"/>
            <w:tcBorders/>
            <w:vAlign w:val="center"/>
          </w:tcPr>
          <w:p>
            <w:pPr>
              <w:pStyle w:val="TableContents"/>
              <w:bidi w:val="0"/>
              <w:spacing w:before="0" w:after="283"/>
              <w:jc w:val="left"/>
              <w:rPr>
                <w:caps/>
              </w:rPr>
            </w:pPr>
            <w:r>
              <w:rPr>
                <w:caps/>
              </w:rPr>
              <w:t>To:</w:t>
            </w:r>
          </w:p>
        </w:tc>
        <w:tc>
          <w:tcPr>
            <w:tcW w:w="4730" w:type="dxa"/>
            <w:tcBorders/>
            <w:vAlign w:val="center"/>
          </w:tcPr>
          <w:p>
            <w:pPr>
              <w:pStyle w:val="TableContents"/>
              <w:bidi w:val="0"/>
              <w:spacing w:before="0" w:after="283"/>
              <w:jc w:val="both"/>
              <w:rPr>
                <w:b/>
                <w:caps/>
              </w:rPr>
            </w:pPr>
            <w:r>
              <w:rPr>
                <w:b/>
                <w:caps/>
              </w:rPr>
              <w:t>60 Degrees Pharmaceuticals,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Placement Agent Common Stock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Placement Agent Common Stock Warrant, execute this form and supply required information. Do not use this form to exercise the Warrant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360" w:right="0" w:firstLine="2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Placement Agent Common Stock Warrant and all rights evidenced thereby are hereby assigned to</w:t>
      </w:r>
    </w:p>
    <w:p>
      <w:pPr>
        <w:pStyle w:val="TextBody"/>
        <w:bidi w:val="0"/>
        <w:spacing w:before="0" w:after="0"/>
        <w:ind w:left="0" w:right="0" w:firstLine="21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4340"/>
        <w:gridCol w:w="60"/>
        <w:gridCol w:w="1295"/>
      </w:tblGrid>
      <w:tr>
        <w:trPr/>
        <w:tc>
          <w:tcPr>
            <w:tcW w:w="434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top w:val="single" w:sz="12" w:space="0" w:color="000000"/>
            </w:tcBorders>
            <w:tcMar>
              <w:top w:w="28" w:type="dxa"/>
            </w:tcMar>
            <w:vAlign w:val="center"/>
          </w:tcPr>
          <w:p>
            <w:pPr>
              <w:pStyle w:val="TableContents"/>
              <w:bidi w:val="0"/>
              <w:spacing w:before="0" w:after="283"/>
              <w:jc w:val="left"/>
              <w:rPr/>
            </w:pPr>
            <w:r>
              <w:rPr/>
              <w:t>(Please Print)</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top w:val="single" w:sz="12" w:space="0" w:color="000000"/>
            </w:tcBorders>
            <w:tcMar>
              <w:top w:w="28" w:type="dxa"/>
            </w:tcMar>
            <w:vAlign w:val="center"/>
          </w:tcPr>
          <w:p>
            <w:pPr>
              <w:pStyle w:val="TableContents"/>
              <w:bidi w:val="0"/>
              <w:spacing w:before="0" w:after="283"/>
              <w:jc w:val="left"/>
              <w:rPr/>
            </w:pPr>
            <w:r>
              <w:rPr/>
              <w:t>(Please Print)</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Phone Number:</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Dated: 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Holder’s Signature: ____________________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Holder’s Address: ____________________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30026001ex99-1.htm"/>
      <w:bookmarkStart w:id="37" w:name="ksea030026001ex991"/>
      <w:bookmarkEnd w:id="36"/>
      <w:bookmarkEnd w:id="37"/>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 Announces Private Placement Priced At-the-Market Under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July 30, 2026 (GLOBE NEWSWIRE) -- 60 Degrees Pharmaceuticals, Inc. (NASDAQ: SXTP, SXTPW) (“60 Degrees” or the “Company”), a pharmaceutical company that develops and commercializes new medicines for vector-borne disease, today announced that it has entered into definitive agreements for the issuance and sale of an aggregate of 574,713 shares of its common stock (or pre-funded warrants in lieu thereof), series A warrants to purchase up to 574,713 shares of common stock and short-term series B warrants to purchase up to 574,713 shares of common stock at a purchase price of $1.74 per share (or per pre-funded warrant in lieu thereof) and accompanying warrants in a private placement priced at-the-market under Nasdaq rules. The series A warrants and short-term series B warrants will have an exercise price of $1.49 per share and will be exercisable upon issuance. The series A warrants will expire five years from the effective date of the Resale Registration Statement (as defined below) and the short-term series B warrants will expire twenty-four months from the effective date of the Resale Registration Statement. The closing of the offering is expected to occur on or about July 31,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is acting as the exclusive placement agent for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60 Degrees from the offering are expected to be approximately $1.0 million, before deducting the placement agent’s fees and other offering expenses payable by 60 Degrees, and excluding the proceeds, if any, from the exercise of the warrants. The Company intends to use the net proceeds from this offering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are being offered in a private placement under Section 4(a)(2) of the Securities Act of 1933, as amended (the “Securities Act”), and/or Regulation D promulgated thereunder and, along with the shares of common stock underlying the warrants, have not been registered under the Securities Act, or applicable state securities laws. Accordingly, the securities described above, including the shares of common stock underlying the warrants, may not be offered or sold in the United States except pursuant to an effective registration statement or an applicable exemption from the registration requirements of the Securities Act and such applicable state securities laws. Pursuant to a registration rights agreement, the Company has agreed to file a resale registration statement covering the securities described above (the “Resale Registration Statement”).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the securities in this offering,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60 Degrees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Degrees Pharmaceuticals, Inc., founded in 2010, specializes in developing and commercializing new medicines for the treatment and prevention of vector-borne disease. The Company achieved U.S. Food and Drug Administration approval of its lead product, ARAKODA® (tafenoquine), for malaria prevention, in 2018. ARAKODA is commercially available in the U.S. and Australia. 60 Degrees Pharmaceuticals, Inc. also collaborates with prominent research and academic organizations in the U.S. and Australia. 60 Degrees Pharmaceuticals, Inc. is headquartered in Washington, D.C., with a subsidiary in Australia. Learn more at www.60degreespharma.com.</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safe harbor provisions of the U.S. Private Securities Litigation Reform Act of 1995. Forward-looking statements reflect the current view about future events, which include, among others, statements related to the completion of the private placement, the satisfaction of customary closing conditions related to the private placement and the intended use of proceeds from the private placement. When used in this press release, the words "anticipate," "believe," "estimate," "expect," "future," "intend," "plan," or the negative of these terms and similar expressions, as they relate to us or our management, identify forward-looking statements.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activities of regulators and future regulations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 there is substantial doubt as to our ability to continue on a going-concern basis; we might not be eligible for Australian government research and development tax rebates; if we are not able to successfully develop, obtain FDA approval for, and provide for the commercialization of non-malaria prevention indications for </w:t>
      </w:r>
      <w:r>
        <w:rPr>
          <w:rFonts w:ascii="Times New Roman;Times;Serif" w:hAnsi="Times New Roman;Times;Serif"/>
          <w:b/>
          <w:i w:val="false"/>
          <w:caps w:val="false"/>
          <w:smallCaps w:val="false"/>
          <w:sz w:val="20"/>
        </w:rPr>
        <w:t>tafenoquine</w:t>
      </w:r>
      <w:r>
        <w:rPr>
          <w:rFonts w:ascii="Times New Roman;Times;Serif" w:hAnsi="Times New Roman;Times;Serif"/>
          <w:b w:val="false"/>
          <w:i w:val="false"/>
          <w:caps w:val="false"/>
          <w:smallCaps w:val="false"/>
          <w:sz w:val="20"/>
        </w:rPr>
        <w:t> (ARAKODA® or other regimen) or castanospermine in a timely manner, we may not be able to expand our business operations; we may not be able to successfully conduct planned clinical trials or patient recruitment in our trials might be slow or negligible; and we have no manufacturing capacity which puts us at risk of lengthy and costly delays in bringing our products to market, and general market and other conditions. More detailed information about the Company and the risk factors that may affect the realization of forward-looking statements is set forth in the Company's filings with the Securities and Exchange Commission ("SEC"), including the information contained in our Annual Report on Form 10-K for the fiscal year ended December 31, 2025 filed with the SEC on March 30, 2026, and our subsequent SEC filings. Investors and security holders are urged to read these documents free of charge on the SEC's website at www.sec.gov. As a result of these matters, changes in facts, assumptions not being realized or other circumstances, the Company's actual results may differ materially from the expected results discussed in the forward-looking statements contained in this press release. Any forward-looking statement made by us in this press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br/>
        <w:t>Kristen Landon</w:t>
        <w:br/>
        <w:t>kristenlandon@60degreespharma.com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br/>
        <w:t>Patrick Gaynes</w:t>
        <w:br/>
        <w:t>patrickgaynes@60degreespharma.com</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65521</Words>
  <Characters>345076</Characters>
  <CharactersWithSpaces>411010</CharactersWithSpaces>
  <Paragraphs>2179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